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CDF1" w14:textId="77777777" w:rsidR="003E4C9E" w:rsidRPr="003E4C9E" w:rsidRDefault="003E4C9E" w:rsidP="003E4C9E">
      <w:pPr>
        <w:spacing w:after="120" w:line="240" w:lineRule="auto"/>
        <w:ind w:left="576" w:hanging="576"/>
        <w:jc w:val="center"/>
        <w:rPr>
          <w:rFonts w:ascii="Times New Roman" w:eastAsia="Times New Roman" w:hAnsi="Times New Roman" w:cs="Times New Roman"/>
          <w:b/>
          <w:i/>
          <w:iCs/>
          <w:sz w:val="32"/>
          <w:szCs w:val="32"/>
        </w:rPr>
      </w:pPr>
      <w:r w:rsidRPr="003E4C9E">
        <w:rPr>
          <w:rFonts w:ascii="Times New Roman" w:eastAsia="Times New Roman" w:hAnsi="Times New Roman" w:cs="Times New Roman"/>
          <w:b/>
          <w:sz w:val="32"/>
          <w:szCs w:val="32"/>
        </w:rPr>
        <w:t>Environmental governance: A practical framework to guide design, evaluation, and analysis. </w:t>
      </w:r>
    </w:p>
    <w:p w14:paraId="0F3A46E2" w14:textId="77777777" w:rsidR="003E4C9E" w:rsidRPr="00F74C20" w:rsidRDefault="003E4C9E" w:rsidP="003E4C9E">
      <w:pPr>
        <w:spacing w:after="120" w:line="240" w:lineRule="auto"/>
        <w:ind w:left="576" w:hanging="576"/>
        <w:jc w:val="center"/>
        <w:rPr>
          <w:rFonts w:ascii="Times New Roman" w:eastAsia="Times New Roman" w:hAnsi="Times New Roman" w:cs="Times New Roman"/>
          <w:sz w:val="24"/>
          <w:szCs w:val="24"/>
        </w:rPr>
      </w:pPr>
      <w:r w:rsidRPr="003665BF">
        <w:rPr>
          <w:rFonts w:ascii="Times New Roman" w:eastAsia="Times New Roman" w:hAnsi="Times New Roman" w:cs="Times New Roman"/>
          <w:sz w:val="24"/>
          <w:szCs w:val="24"/>
        </w:rPr>
        <w:t>Bennett, N. J., and Satterfield, T. (2018).</w:t>
      </w:r>
    </w:p>
    <w:p w14:paraId="49BE05A5" w14:textId="77777777" w:rsidR="003E4C9E" w:rsidRDefault="003E4C9E" w:rsidP="00296C85">
      <w:pPr>
        <w:spacing w:after="120" w:line="240" w:lineRule="auto"/>
        <w:jc w:val="both"/>
        <w:rPr>
          <w:rFonts w:ascii="Times New Roman" w:eastAsia="Times New Roman" w:hAnsi="Times New Roman" w:cs="Times New Roman"/>
          <w:color w:val="000000" w:themeColor="text1"/>
          <w:sz w:val="24"/>
          <w:szCs w:val="24"/>
          <w:lang w:val="es-ES"/>
        </w:rPr>
      </w:pPr>
      <w:r>
        <w:rPr>
          <w:rFonts w:ascii="Times New Roman" w:eastAsia="Times New Roman" w:hAnsi="Times New Roman" w:cs="Times New Roman"/>
          <w:color w:val="000000" w:themeColor="text1"/>
          <w:sz w:val="24"/>
          <w:szCs w:val="24"/>
          <w:lang w:val="es-ES"/>
        </w:rPr>
        <w:t>Resumen: “</w:t>
      </w:r>
      <w:r w:rsidRPr="00F74C20">
        <w:rPr>
          <w:rFonts w:ascii="Times New Roman" w:eastAsia="Times New Roman" w:hAnsi="Times New Roman" w:cs="Times New Roman"/>
          <w:i/>
          <w:color w:val="000000" w:themeColor="text1"/>
          <w:sz w:val="24"/>
          <w:szCs w:val="24"/>
          <w:lang w:val="es-ES"/>
        </w:rPr>
        <w:t xml:space="preserve">La gobernanza es uno de los factores más importantes para asegurar una gestión </w:t>
      </w:r>
      <w:r>
        <w:rPr>
          <w:rFonts w:ascii="Times New Roman" w:eastAsia="Times New Roman" w:hAnsi="Times New Roman" w:cs="Times New Roman"/>
          <w:i/>
          <w:color w:val="000000" w:themeColor="text1"/>
          <w:sz w:val="24"/>
          <w:szCs w:val="24"/>
          <w:lang w:val="es-ES"/>
        </w:rPr>
        <w:t xml:space="preserve">y conservación </w:t>
      </w:r>
      <w:r w:rsidRPr="00F74C20">
        <w:rPr>
          <w:rFonts w:ascii="Times New Roman" w:eastAsia="Times New Roman" w:hAnsi="Times New Roman" w:cs="Times New Roman"/>
          <w:i/>
          <w:color w:val="000000" w:themeColor="text1"/>
          <w:sz w:val="24"/>
          <w:szCs w:val="24"/>
          <w:lang w:val="es-ES"/>
        </w:rPr>
        <w:t>eficaz</w:t>
      </w:r>
      <w:r>
        <w:rPr>
          <w:rFonts w:ascii="Times New Roman" w:eastAsia="Times New Roman" w:hAnsi="Times New Roman" w:cs="Times New Roman"/>
          <w:i/>
          <w:color w:val="000000" w:themeColor="text1"/>
          <w:sz w:val="24"/>
          <w:szCs w:val="24"/>
          <w:lang w:val="es-ES"/>
        </w:rPr>
        <w:t xml:space="preserve"> del medio ambiente</w:t>
      </w:r>
      <w:r w:rsidRPr="00F74C20">
        <w:rPr>
          <w:rFonts w:ascii="Times New Roman" w:eastAsia="Times New Roman" w:hAnsi="Times New Roman" w:cs="Times New Roman"/>
          <w:i/>
          <w:color w:val="000000" w:themeColor="text1"/>
          <w:sz w:val="24"/>
          <w:szCs w:val="24"/>
          <w:lang w:val="es-ES"/>
        </w:rPr>
        <w:t>. Sin embargo, todavía existe una relativa escasez de orientación integral y factible que pueda utilizarse para enmarcar la evaluación, el diseño y el análisis de los sistemas de gobernanza ambiental. Este artículo de síntesis y revisión conceptual busca abordar este problema mediante la reubicación del amplio cuerpo de literatura sobre gobernanza en un marco práctico para la gobernanza ambiental. Nuestro marco se basa en una rica historia de estudios de gobernanza para proponer que la gobernanza ambiental</w:t>
      </w:r>
      <w:r>
        <w:rPr>
          <w:rFonts w:ascii="Times New Roman" w:eastAsia="Times New Roman" w:hAnsi="Times New Roman" w:cs="Times New Roman"/>
          <w:i/>
          <w:color w:val="000000" w:themeColor="text1"/>
          <w:sz w:val="24"/>
          <w:szCs w:val="24"/>
          <w:lang w:val="es-ES"/>
        </w:rPr>
        <w:t xml:space="preserve"> y</w:t>
      </w:r>
      <w:r w:rsidRPr="00F74C20">
        <w:rPr>
          <w:rFonts w:ascii="Times New Roman" w:eastAsia="Times New Roman" w:hAnsi="Times New Roman" w:cs="Times New Roman"/>
          <w:i/>
          <w:color w:val="000000" w:themeColor="text1"/>
          <w:sz w:val="24"/>
          <w:szCs w:val="24"/>
          <w:lang w:val="es-ES"/>
        </w:rPr>
        <w:t xml:space="preserve"> tiene cuatro metas u objetivos generales: ser eficaz, ser equitativo, ser receptivo y ser sólido. Cada uno de estos cuatro objetivos debe considerarse simultáneamente en todos los elementos institucionales, estructurales y de procedimiento de la gobernanza ambiental. Mediante una revisión de la literatura, desarrollamos un conjunto de atributos para cada uno de estos objetivos y los relacionamos con la capacidad general, el funcionamiento y el desempeño de la gobernanza ambiental. Nuestro objetivo es proporcionar un marco práctico y adaptable que pueda aplicarse al diseño, evaluación y análisis de la gobernanza ambiental en diferentes contextos sociales y políticos, a diversos problemas ambientales y modos de gobernanza, y en una variedad de escalas</w:t>
      </w:r>
      <w:r>
        <w:rPr>
          <w:rFonts w:ascii="Times New Roman" w:eastAsia="Times New Roman" w:hAnsi="Times New Roman" w:cs="Times New Roman"/>
          <w:i/>
          <w:color w:val="000000" w:themeColor="text1"/>
          <w:sz w:val="24"/>
          <w:szCs w:val="24"/>
          <w:lang w:val="es-ES"/>
        </w:rPr>
        <w:t>”</w:t>
      </w:r>
    </w:p>
    <w:p w14:paraId="19EB77F7" w14:textId="77777777" w:rsidR="003E4C9E" w:rsidRPr="00F74C20" w:rsidRDefault="003E4C9E" w:rsidP="00296C85">
      <w:pPr>
        <w:spacing w:after="120" w:line="240" w:lineRule="auto"/>
        <w:jc w:val="both"/>
        <w:rPr>
          <w:rFonts w:ascii="Times New Roman" w:eastAsia="Times New Roman" w:hAnsi="Times New Roman" w:cs="Times New Roman"/>
          <w:color w:val="000000" w:themeColor="text1"/>
          <w:sz w:val="24"/>
          <w:szCs w:val="24"/>
          <w:lang w:val="es-ES"/>
        </w:rPr>
      </w:pPr>
    </w:p>
    <w:p w14:paraId="7965FD38" w14:textId="77777777" w:rsidR="003E4C9E" w:rsidRPr="003665BF" w:rsidRDefault="003E4C9E" w:rsidP="00296C85">
      <w:pPr>
        <w:spacing w:before="120" w:after="240" w:line="240" w:lineRule="auto"/>
        <w:jc w:val="both"/>
        <w:rPr>
          <w:rFonts w:ascii="Times New Roman" w:eastAsia="Times New Roman" w:hAnsi="Times New Roman" w:cs="Times New Roman"/>
          <w:sz w:val="24"/>
          <w:szCs w:val="24"/>
          <w:lang w:val="es-ES"/>
        </w:rPr>
      </w:pPr>
      <w:r w:rsidRPr="003665BF">
        <w:rPr>
          <w:rFonts w:ascii="Times New Roman" w:eastAsia="Times New Roman" w:hAnsi="Times New Roman" w:cs="Times New Roman"/>
          <w:sz w:val="24"/>
          <w:szCs w:val="24"/>
          <w:lang w:val="es-ES"/>
        </w:rPr>
        <w:t xml:space="preserve">Estos autores proponen un marco amplio para la evaluación de la GA en la práctica. Realizaron una revisión de la literatura sobre los elementos de GA hasta alcanzar la saturación temática. Estos autores tienden a basarse en enfoques de la GA de </w:t>
      </w:r>
      <w:r w:rsidRPr="003665BF">
        <w:rPr>
          <w:rFonts w:ascii="Times New Roman" w:eastAsia="Calibri" w:hAnsi="Times New Roman" w:cs="Times New Roman"/>
          <w:sz w:val="24"/>
          <w:szCs w:val="24"/>
          <w:lang w:val="es-ES"/>
        </w:rPr>
        <w:t xml:space="preserve">múltiples actores interesados </w:t>
      </w:r>
      <w:r w:rsidRPr="003665BF">
        <w:rPr>
          <w:rFonts w:ascii="Times New Roman" w:eastAsia="Times New Roman" w:hAnsi="Times New Roman" w:cs="Times New Roman"/>
          <w:sz w:val="24"/>
          <w:szCs w:val="24"/>
          <w:lang w:val="es-ES"/>
        </w:rPr>
        <w:t>(por ejemplo, Lockwood 2010; Armitage, et al. 2012; Wyborn 2014; Boyd et al. 2015). Luego desarrollaron el marco en torno a cuatro objetivos principales. Los objetivos son 1) eficacia, que “apoya el mantenimiento de la integridad y el funcionamiento del sistema”; 2) equidad, que fomenta “procesos inclusivos y produce resultados justos”; 3) capacidad de respuesta, que “permite la adaptación a diversos contextos y condiciones cambiantes”; y 4) robustez, que “asegura que las instituciones en funcionamiento persistan, mantengan el desempeño y enfrenten perturbaciones y crisis” (Bennett y Satterfield, 2018: 7). Cada objetivo tiene múltiples atributos. La eficacia incluye "dirección", "coordinación", "capacidad", "informado", "responsable" y "eficiente"; equitativo incluye "reconocimiento", "participación", "equitativo" y "justo"; receptivo incluye "aprendizaje", "anticipatorio", "adaptativo", "innovador" y "flexible"; y robusto incluye "legítimo", "conectado", "anidado" y "policéntrico". Los autores sostienen que el marco debe adaptarse al contexto en el que se aplica. Sin embargo, los autores enfatizan la importancia de abordar los cuatro objetivos en cualquier evaluación de la GA.</w:t>
      </w:r>
    </w:p>
    <w:p w14:paraId="58B039EA" w14:textId="77777777" w:rsidR="003E4C9E" w:rsidRPr="003665BF" w:rsidRDefault="003E4C9E" w:rsidP="00296C85">
      <w:pPr>
        <w:spacing w:before="120" w:after="240" w:line="240" w:lineRule="auto"/>
        <w:jc w:val="both"/>
        <w:rPr>
          <w:rFonts w:ascii="Times New Roman" w:eastAsia="Times New Roman" w:hAnsi="Times New Roman" w:cs="Times New Roman"/>
          <w:sz w:val="24"/>
          <w:szCs w:val="24"/>
          <w:lang w:val="es-ES"/>
        </w:rPr>
      </w:pPr>
      <w:r w:rsidRPr="003665BF">
        <w:rPr>
          <w:rFonts w:ascii="Times New Roman" w:eastAsia="Times New Roman" w:hAnsi="Times New Roman" w:cs="Times New Roman"/>
          <w:sz w:val="24"/>
          <w:szCs w:val="24"/>
          <w:lang w:val="es-ES"/>
        </w:rPr>
        <w:t xml:space="preserve">La principal fortaleza de este marco es que está diseñado para incluir numerosos indicadores que permitan una evaluación exhaustiva de la GA. Otra fortaleza es que los autores han incluido no solo diferentes aspectos de los procesos de gobernanza, sino también los resultados de la gobernanza. Sin embargo, el marco presentado por Bennett y Satterfield (2018) tiene algunas limitaciones. Por un lado, se centra en los objetivos y atributos a nivel del sistema, lo que aleja la atención de las partes interesadas específicas. Además, este marco no anticipa claramente los problemas de escala, como la necesidad de reconocer las diferencias en la complejidad si el sistema </w:t>
      </w:r>
      <w:r w:rsidRPr="003665BF">
        <w:rPr>
          <w:rFonts w:ascii="Times New Roman" w:eastAsia="Times New Roman" w:hAnsi="Times New Roman" w:cs="Times New Roman"/>
          <w:sz w:val="24"/>
          <w:szCs w:val="24"/>
          <w:lang w:val="es-ES"/>
        </w:rPr>
        <w:lastRenderedPageBreak/>
        <w:t>es local o global. Una tercera crítica es que los numerosos elementos del marco hacen que sea más difícil mantener distinciones entre términos como "equitativo" y "justo" o "informado" y "aprendizaje" o "adaptativo" y "flexible".</w:t>
      </w:r>
    </w:p>
    <w:p w14:paraId="7BAAA77C" w14:textId="77777777" w:rsidR="003E4C9E" w:rsidRDefault="003E4C9E" w:rsidP="00296C85">
      <w:pPr>
        <w:spacing w:after="120" w:line="240" w:lineRule="auto"/>
        <w:ind w:left="576" w:hanging="576"/>
        <w:jc w:val="both"/>
        <w:rPr>
          <w:rFonts w:ascii="Times New Roman" w:eastAsia="Times New Roman" w:hAnsi="Times New Roman" w:cs="Times New Roman"/>
          <w:sz w:val="24"/>
          <w:szCs w:val="24"/>
        </w:rPr>
      </w:pPr>
      <w:r w:rsidRPr="00F74C20">
        <w:rPr>
          <w:rFonts w:ascii="Times New Roman" w:eastAsia="Times New Roman" w:hAnsi="Times New Roman" w:cs="Times New Roman"/>
          <w:b/>
          <w:sz w:val="24"/>
          <w:szCs w:val="24"/>
        </w:rPr>
        <w:t>Fuente:</w:t>
      </w:r>
      <w:r w:rsidRPr="00F74C20">
        <w:rPr>
          <w:rFonts w:ascii="Times New Roman" w:eastAsia="Times New Roman" w:hAnsi="Times New Roman" w:cs="Times New Roman"/>
          <w:sz w:val="24"/>
          <w:szCs w:val="24"/>
        </w:rPr>
        <w:t xml:space="preserve"> </w:t>
      </w:r>
      <w:r w:rsidRPr="003665BF">
        <w:rPr>
          <w:rFonts w:ascii="Times New Roman" w:eastAsia="Times New Roman" w:hAnsi="Times New Roman" w:cs="Times New Roman"/>
          <w:sz w:val="24"/>
          <w:szCs w:val="24"/>
        </w:rPr>
        <w:t>Bennett, N. J., and Satterfield, T. (2018). Environmental governance: A practical framework to guide design, evaluation, and analysis. </w:t>
      </w:r>
      <w:r w:rsidRPr="003665BF">
        <w:rPr>
          <w:rFonts w:ascii="Times New Roman" w:eastAsia="Times New Roman" w:hAnsi="Times New Roman" w:cs="Times New Roman"/>
          <w:i/>
          <w:iCs/>
          <w:sz w:val="24"/>
          <w:szCs w:val="24"/>
        </w:rPr>
        <w:t>Conserv. Lett.</w:t>
      </w:r>
      <w:r w:rsidRPr="003665BF">
        <w:rPr>
          <w:rFonts w:ascii="Times New Roman" w:eastAsia="Times New Roman" w:hAnsi="Times New Roman" w:cs="Times New Roman"/>
          <w:sz w:val="24"/>
          <w:szCs w:val="24"/>
        </w:rPr>
        <w:t> 11:6, 113. doi:10.1111/conl.12600.</w:t>
      </w:r>
    </w:p>
    <w:p w14:paraId="5CE84C50" w14:textId="5BE89D6A" w:rsidR="003E4C9E" w:rsidRPr="00DC5690" w:rsidRDefault="003E4C9E" w:rsidP="00296C85">
      <w:pPr>
        <w:spacing w:after="120" w:line="240" w:lineRule="auto"/>
        <w:ind w:left="576" w:hanging="576"/>
        <w:jc w:val="both"/>
        <w:rPr>
          <w:rFonts w:ascii="Times New Roman" w:eastAsia="Times New Roman" w:hAnsi="Times New Roman" w:cs="Times New Roman"/>
          <w:color w:val="000000" w:themeColor="text1"/>
          <w:sz w:val="24"/>
          <w:szCs w:val="24"/>
          <w:lang w:val="es-ES"/>
        </w:rPr>
      </w:pPr>
      <w:r w:rsidRPr="00DC5690">
        <w:rPr>
          <w:rFonts w:ascii="Times New Roman" w:eastAsia="Times New Roman" w:hAnsi="Times New Roman" w:cs="Times New Roman"/>
          <w:b/>
          <w:color w:val="000000" w:themeColor="text1"/>
          <w:sz w:val="24"/>
          <w:szCs w:val="24"/>
          <w:lang w:val="es-ES"/>
        </w:rPr>
        <w:t>Acceso (</w:t>
      </w:r>
      <w:r w:rsidR="00296C85" w:rsidRPr="00DC5690">
        <w:rPr>
          <w:rFonts w:ascii="Times New Roman" w:eastAsia="Times New Roman" w:hAnsi="Times New Roman" w:cs="Times New Roman"/>
          <w:b/>
          <w:color w:val="000000" w:themeColor="text1"/>
          <w:sz w:val="24"/>
          <w:szCs w:val="24"/>
          <w:lang w:val="es-ES"/>
        </w:rPr>
        <w:t>inglés</w:t>
      </w:r>
      <w:r w:rsidRPr="00DC5690">
        <w:rPr>
          <w:rFonts w:ascii="Times New Roman" w:eastAsia="Times New Roman" w:hAnsi="Times New Roman" w:cs="Times New Roman"/>
          <w:b/>
          <w:color w:val="000000" w:themeColor="text1"/>
          <w:sz w:val="24"/>
          <w:szCs w:val="24"/>
          <w:lang w:val="es-ES"/>
        </w:rPr>
        <w:t>):</w:t>
      </w:r>
      <w:r w:rsidRPr="00DC5690">
        <w:rPr>
          <w:rFonts w:ascii="Times New Roman" w:eastAsia="Times New Roman" w:hAnsi="Times New Roman" w:cs="Times New Roman"/>
          <w:color w:val="000000" w:themeColor="text1"/>
          <w:sz w:val="24"/>
          <w:szCs w:val="24"/>
          <w:lang w:val="es-ES"/>
        </w:rPr>
        <w:t xml:space="preserve"> </w:t>
      </w:r>
      <w:hyperlink r:id="rId6" w:history="1">
        <w:r w:rsidRPr="00DC5690">
          <w:rPr>
            <w:rStyle w:val="Hipervnculo"/>
            <w:rFonts w:ascii="Times New Roman" w:eastAsia="Times New Roman" w:hAnsi="Times New Roman" w:cs="Times New Roman"/>
            <w:sz w:val="24"/>
            <w:szCs w:val="24"/>
            <w:lang w:val="es-ES"/>
          </w:rPr>
          <w:t>https://conbio.onlinelibrary.wiley.com/doi/full/10.1111/conl.12600</w:t>
        </w:r>
      </w:hyperlink>
      <w:r w:rsidRPr="00DC5690">
        <w:rPr>
          <w:rFonts w:ascii="Times New Roman" w:eastAsia="Times New Roman" w:hAnsi="Times New Roman" w:cs="Times New Roman"/>
          <w:color w:val="000000" w:themeColor="text1"/>
          <w:sz w:val="24"/>
          <w:szCs w:val="24"/>
          <w:lang w:val="es-ES"/>
        </w:rPr>
        <w:t xml:space="preserve"> </w:t>
      </w:r>
    </w:p>
    <w:p w14:paraId="56C47419" w14:textId="77777777" w:rsidR="003E4C9E" w:rsidRPr="00DC5690" w:rsidRDefault="003E4C9E" w:rsidP="00296C85">
      <w:pPr>
        <w:spacing w:before="120" w:after="240" w:line="240" w:lineRule="auto"/>
        <w:jc w:val="both"/>
        <w:rPr>
          <w:rFonts w:ascii="Times New Roman" w:eastAsia="Times New Roman" w:hAnsi="Times New Roman" w:cs="Times New Roman"/>
          <w:sz w:val="24"/>
          <w:szCs w:val="24"/>
          <w:lang w:val="es-ES"/>
        </w:rPr>
      </w:pPr>
    </w:p>
    <w:p w14:paraId="0606E29E" w14:textId="77777777" w:rsidR="001F1430" w:rsidRPr="00DC5690" w:rsidRDefault="001F1430" w:rsidP="00296C85">
      <w:pPr>
        <w:jc w:val="both"/>
        <w:rPr>
          <w:lang w:val="es-ES"/>
        </w:rPr>
      </w:pPr>
    </w:p>
    <w:sectPr w:rsidR="001F1430" w:rsidRPr="00DC5690" w:rsidSect="00764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4828" w14:textId="77777777" w:rsidR="002F26E3" w:rsidRDefault="002F26E3" w:rsidP="003E4C9E">
      <w:pPr>
        <w:spacing w:after="0" w:line="240" w:lineRule="auto"/>
      </w:pPr>
      <w:r>
        <w:separator/>
      </w:r>
    </w:p>
  </w:endnote>
  <w:endnote w:type="continuationSeparator" w:id="0">
    <w:p w14:paraId="21145278" w14:textId="77777777" w:rsidR="002F26E3" w:rsidRDefault="002F26E3" w:rsidP="003E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80B81" w14:textId="77777777" w:rsidR="002F26E3" w:rsidRDefault="002F26E3" w:rsidP="003E4C9E">
      <w:pPr>
        <w:spacing w:after="0" w:line="240" w:lineRule="auto"/>
      </w:pPr>
      <w:r>
        <w:separator/>
      </w:r>
    </w:p>
  </w:footnote>
  <w:footnote w:type="continuationSeparator" w:id="0">
    <w:p w14:paraId="0BD2C7C3" w14:textId="77777777" w:rsidR="002F26E3" w:rsidRDefault="002F26E3" w:rsidP="003E4C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9E"/>
    <w:rsid w:val="001F1430"/>
    <w:rsid w:val="00296C85"/>
    <w:rsid w:val="002F26E3"/>
    <w:rsid w:val="003E4C9E"/>
    <w:rsid w:val="006378AD"/>
    <w:rsid w:val="00764555"/>
    <w:rsid w:val="00DC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B14DB"/>
  <w15:chartTrackingRefBased/>
  <w15:docId w15:val="{4C315DDA-07F1-2D43-9A19-C1C796E1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9E"/>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4C9E"/>
    <w:pPr>
      <w:tabs>
        <w:tab w:val="center" w:pos="4680"/>
        <w:tab w:val="right" w:pos="9360"/>
      </w:tabs>
      <w:spacing w:after="0" w:line="240" w:lineRule="auto"/>
    </w:pPr>
    <w:rPr>
      <w:sz w:val="24"/>
      <w:szCs w:val="24"/>
    </w:rPr>
  </w:style>
  <w:style w:type="character" w:customStyle="1" w:styleId="EncabezadoCar">
    <w:name w:val="Encabezado Car"/>
    <w:basedOn w:val="Fuentedeprrafopredeter"/>
    <w:link w:val="Encabezado"/>
    <w:uiPriority w:val="99"/>
    <w:rsid w:val="003E4C9E"/>
  </w:style>
  <w:style w:type="paragraph" w:styleId="Piedepgina">
    <w:name w:val="footer"/>
    <w:basedOn w:val="Normal"/>
    <w:link w:val="PiedepginaCar"/>
    <w:uiPriority w:val="99"/>
    <w:unhideWhenUsed/>
    <w:rsid w:val="003E4C9E"/>
    <w:pPr>
      <w:tabs>
        <w:tab w:val="center" w:pos="4680"/>
        <w:tab w:val="right" w:pos="9360"/>
      </w:tabs>
      <w:spacing w:after="0" w:line="240" w:lineRule="auto"/>
    </w:pPr>
    <w:rPr>
      <w:sz w:val="24"/>
      <w:szCs w:val="24"/>
    </w:rPr>
  </w:style>
  <w:style w:type="character" w:customStyle="1" w:styleId="PiedepginaCar">
    <w:name w:val="Pie de página Car"/>
    <w:basedOn w:val="Fuentedeprrafopredeter"/>
    <w:link w:val="Piedepgina"/>
    <w:uiPriority w:val="99"/>
    <w:rsid w:val="003E4C9E"/>
  </w:style>
  <w:style w:type="character" w:styleId="Hipervnculo">
    <w:name w:val="Hyperlink"/>
    <w:basedOn w:val="Fuentedeprrafopredeter"/>
    <w:uiPriority w:val="99"/>
    <w:unhideWhenUsed/>
    <w:rsid w:val="003E4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bio.onlinelibrary.wiley.com/doi/full/10.1111/conl.126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3619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MG</dc:creator>
  <cp:keywords/>
  <dc:description/>
  <cp:lastModifiedBy>Microsoft Office User</cp:lastModifiedBy>
  <cp:revision>3</cp:revision>
  <dcterms:created xsi:type="dcterms:W3CDTF">2021-07-19T11:23:00Z</dcterms:created>
  <dcterms:modified xsi:type="dcterms:W3CDTF">2021-07-26T14:48:00Z</dcterms:modified>
</cp:coreProperties>
</file>