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02" w:rsidRDefault="00A66802">
      <w:r>
        <w:t>Enfoque de bloque funcional</w:t>
      </w:r>
      <w:r w:rsidR="008D4568">
        <w:t xml:space="preserve">, donde </w:t>
      </w:r>
      <w:r>
        <w:t>cada factor tiene impacto en los demás factores</w:t>
      </w:r>
      <w:r w:rsidR="00B95FAF">
        <w:t>. El Marco Institucional (MI) es el punto de partida para calificar un GLR.</w:t>
      </w:r>
      <w:r w:rsidR="00C97D17">
        <w:t xml:space="preserve"> </w:t>
      </w:r>
      <w:r w:rsidR="002E6671">
        <w:t xml:space="preserve">Se observa varios factores para evaluar si el MI es fuerte, neutral o débil. Se considera que el MI es neutral en el caso de las calificaciones bolivianas porque: (i) el régimen regulatorio es estable; (ii) la transparencia es adecuada porque, </w:t>
      </w:r>
      <w:bookmarkStart w:id="0" w:name="_GoBack"/>
      <w:bookmarkEnd w:id="0"/>
      <w:r w:rsidR="002E6671">
        <w:t>si bien se presenta cuentas patrimoniales, la ejecución presupuestaria refleja más fielmente la situación financiera de la municipalidad; (iii) hay cambios ocasionales en el sistema de fondeo; (iv) hay formas de restringir la deuda pero, no necesariamente de alta rigidez; y (v) el control es adecuado</w:t>
      </w:r>
      <w:r w:rsidR="004759D5">
        <w:t>.</w:t>
      </w:r>
    </w:p>
    <w:p w:rsidR="006945B2" w:rsidRDefault="006945B2"/>
    <w:p w:rsidR="00A66802" w:rsidRDefault="00A66802" w:rsidP="00B23DD6">
      <w:pPr>
        <w:pStyle w:val="Prrafodelista"/>
        <w:numPr>
          <w:ilvl w:val="0"/>
          <w:numId w:val="1"/>
        </w:numPr>
      </w:pPr>
      <w:r w:rsidRPr="002D1650">
        <w:rPr>
          <w:u w:val="single"/>
        </w:rPr>
        <w:t>Marco Institucional determina flexibilidad de ingresos y gastos del emisor</w:t>
      </w:r>
    </w:p>
    <w:p w:rsidR="00B23DD6" w:rsidRDefault="00B23DD6" w:rsidP="00B23DD6">
      <w:pPr>
        <w:pStyle w:val="Prrafodelista"/>
        <w:ind w:left="1080"/>
      </w:pPr>
    </w:p>
    <w:p w:rsidR="008D4568" w:rsidRDefault="008D4568" w:rsidP="00B23DD6">
      <w:pPr>
        <w:pStyle w:val="Prrafodelista"/>
        <w:ind w:left="1080"/>
      </w:pPr>
      <w:r>
        <w:rPr>
          <w:b/>
          <w:u w:val="single"/>
        </w:rPr>
        <w:t>Fuerte</w:t>
      </w:r>
      <w:r>
        <w:t xml:space="preserve">: </w:t>
      </w:r>
    </w:p>
    <w:p w:rsidR="001727A4" w:rsidRDefault="00B23DD6" w:rsidP="00B23DD6">
      <w:pPr>
        <w:pStyle w:val="Prrafodelista"/>
        <w:ind w:left="1080"/>
      </w:pPr>
      <w:r>
        <w:t xml:space="preserve">En Bolivia hay una ecualización vertical desde la </w:t>
      </w:r>
      <w:r w:rsidR="00565277">
        <w:t>v</w:t>
      </w:r>
      <w:r w:rsidR="001727A4">
        <w:t xml:space="preserve">igencia de la </w:t>
      </w:r>
      <w:r>
        <w:t>Ley de Participación Popular e IDH. Estas transferencias se consideran relativamente consolidadas a pesar de que, en el caso del IDH, se desvió 12% hacia un fondo para incentivos de inversión para el sector petrolero.</w:t>
      </w:r>
    </w:p>
    <w:p w:rsidR="007660A9" w:rsidRDefault="007660A9" w:rsidP="00B23DD6">
      <w:pPr>
        <w:pStyle w:val="Prrafodelista"/>
        <w:ind w:left="1080"/>
      </w:pPr>
    </w:p>
    <w:p w:rsidR="007660A9" w:rsidRDefault="007660A9" w:rsidP="00B23DD6">
      <w:pPr>
        <w:pStyle w:val="Prrafodelista"/>
        <w:ind w:left="1080"/>
      </w:pPr>
      <w:r>
        <w:t xml:space="preserve">Por su tamaño e importancia estratégica, MALP ha recibido y podido recaudar recursos suficientes para responder a sus responsabilidades de inversión y, en el pasado, soporte desde el gobierno central. </w:t>
      </w:r>
    </w:p>
    <w:p w:rsidR="001727A4" w:rsidRDefault="001727A4" w:rsidP="00B23DD6">
      <w:pPr>
        <w:pStyle w:val="Prrafodelista"/>
        <w:ind w:left="1080"/>
      </w:pPr>
    </w:p>
    <w:p w:rsidR="008D4568" w:rsidRPr="008D4568" w:rsidRDefault="008D4568" w:rsidP="00B23DD6">
      <w:pPr>
        <w:pStyle w:val="Prrafodelista"/>
        <w:ind w:left="1080"/>
        <w:rPr>
          <w:b/>
        </w:rPr>
      </w:pPr>
      <w:r w:rsidRPr="008D4568">
        <w:rPr>
          <w:b/>
          <w:u w:val="single"/>
        </w:rPr>
        <w:t>Débil</w:t>
      </w:r>
      <w:r w:rsidRPr="008D4568">
        <w:rPr>
          <w:b/>
        </w:rPr>
        <w:t>:</w:t>
      </w:r>
    </w:p>
    <w:p w:rsidR="00B23DD6" w:rsidRDefault="00B23DD6" w:rsidP="00B23DD6">
      <w:pPr>
        <w:pStyle w:val="Prrafodelista"/>
        <w:ind w:left="1080"/>
      </w:pPr>
      <w:r>
        <w:t>Existirían retrasos en los desembolsos del IDH, donde la fórmula de repartición ha creado algunas distorsiones a nivel de los entes subnacional</w:t>
      </w:r>
      <w:r w:rsidR="001727A4">
        <w:t>es</w:t>
      </w:r>
      <w:r>
        <w:t>.</w:t>
      </w:r>
    </w:p>
    <w:p w:rsidR="001727A4" w:rsidRDefault="001727A4" w:rsidP="00B23DD6">
      <w:pPr>
        <w:pStyle w:val="Prrafodelista"/>
        <w:ind w:left="1080"/>
      </w:pPr>
    </w:p>
    <w:p w:rsidR="001727A4" w:rsidRDefault="001727A4" w:rsidP="00B23DD6">
      <w:pPr>
        <w:pStyle w:val="Prrafodelista"/>
        <w:ind w:left="1080"/>
      </w:pPr>
      <w:r>
        <w:t>Hay burocratización en reformulaciones presupuestarias y en otorgamiento de certificados de créditos fiscal.</w:t>
      </w:r>
      <w:r w:rsidR="008D4568">
        <w:t xml:space="preserve"> Desembolsos tardíos afectan ejecución presupuestaria del gasto a fin de gestión.</w:t>
      </w:r>
    </w:p>
    <w:p w:rsidR="008D4568" w:rsidRDefault="008D4568" w:rsidP="00B23DD6">
      <w:pPr>
        <w:pStyle w:val="Prrafodelista"/>
        <w:ind w:left="1080"/>
      </w:pPr>
    </w:p>
    <w:p w:rsidR="008D4568" w:rsidRDefault="008D4568" w:rsidP="00B23DD6">
      <w:pPr>
        <w:pStyle w:val="Prrafodelista"/>
        <w:ind w:left="1080"/>
      </w:pPr>
      <w:r>
        <w:t>Cambios en sistemas informáticos del gobierno central ocasionan problemas y retrasos en la contabilidad de operaciones</w:t>
      </w:r>
    </w:p>
    <w:p w:rsidR="008D4568" w:rsidRDefault="008D4568" w:rsidP="00B23DD6">
      <w:pPr>
        <w:pStyle w:val="Prrafodelista"/>
        <w:ind w:left="1080"/>
      </w:pPr>
    </w:p>
    <w:p w:rsidR="008D4568" w:rsidRDefault="008D4568" w:rsidP="00B23DD6">
      <w:pPr>
        <w:pStyle w:val="Prrafodelista"/>
        <w:ind w:left="1080"/>
      </w:pPr>
      <w:r>
        <w:t xml:space="preserve">En los últimos años, se ha asignado responsabilidades adicionales a GLR. En algunos casos, no se </w:t>
      </w:r>
      <w:r w:rsidR="007660A9">
        <w:t>traspasó</w:t>
      </w:r>
      <w:r>
        <w:t xml:space="preserve"> recursos.</w:t>
      </w:r>
    </w:p>
    <w:p w:rsidR="001727A4" w:rsidRDefault="001727A4" w:rsidP="00B23DD6">
      <w:pPr>
        <w:pStyle w:val="Prrafodelista"/>
        <w:ind w:left="1080"/>
      </w:pPr>
    </w:p>
    <w:p w:rsidR="001727A4" w:rsidRDefault="001727A4" w:rsidP="00B23DD6">
      <w:pPr>
        <w:pStyle w:val="Prrafodelista"/>
        <w:ind w:left="1080"/>
      </w:pPr>
    </w:p>
    <w:sectPr w:rsidR="001727A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9F8" w:rsidRDefault="00BD49F8" w:rsidP="00BD49F8">
      <w:pPr>
        <w:spacing w:after="0" w:line="240" w:lineRule="auto"/>
      </w:pPr>
      <w:r>
        <w:separator/>
      </w:r>
    </w:p>
  </w:endnote>
  <w:endnote w:type="continuationSeparator" w:id="0">
    <w:p w:rsidR="00BD49F8" w:rsidRDefault="00BD49F8" w:rsidP="00BD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9F8" w:rsidRDefault="00BD49F8" w:rsidP="00BD49F8">
      <w:pPr>
        <w:spacing w:after="0" w:line="240" w:lineRule="auto"/>
      </w:pPr>
      <w:r>
        <w:separator/>
      </w:r>
    </w:p>
  </w:footnote>
  <w:footnote w:type="continuationSeparator" w:id="0">
    <w:p w:rsidR="00BD49F8" w:rsidRDefault="00BD49F8" w:rsidP="00BD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9F8" w:rsidRDefault="00BD49F8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9264" behindDoc="0" locked="0" layoutInCell="1" allowOverlap="1" wp14:anchorId="765386D4" wp14:editId="7D686354">
          <wp:simplePos x="0" y="0"/>
          <wp:positionH relativeFrom="column">
            <wp:posOffset>65314</wp:posOffset>
          </wp:positionH>
          <wp:positionV relativeFrom="paragraph">
            <wp:posOffset>-183515</wp:posOffset>
          </wp:positionV>
          <wp:extent cx="2501900" cy="520700"/>
          <wp:effectExtent l="0" t="0" r="0" b="0"/>
          <wp:wrapNone/>
          <wp:docPr id="3" name="Imagen 3" descr="C:\Users\PC 9\AppData\Local\Microsoft\Windows\Temporary Internet Files\Content.Word\aesa_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PC 9\AppData\Local\Microsoft\Windows\Temporary Internet Files\Content.Word\aesa_logo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17C5"/>
    <w:multiLevelType w:val="hybridMultilevel"/>
    <w:tmpl w:val="FD1E1242"/>
    <w:lvl w:ilvl="0" w:tplc="C1D0D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02"/>
    <w:rsid w:val="001727A4"/>
    <w:rsid w:val="002D1650"/>
    <w:rsid w:val="002E6671"/>
    <w:rsid w:val="004759D5"/>
    <w:rsid w:val="00565277"/>
    <w:rsid w:val="006945B2"/>
    <w:rsid w:val="007660A9"/>
    <w:rsid w:val="008D4568"/>
    <w:rsid w:val="00A66802"/>
    <w:rsid w:val="00B23DD6"/>
    <w:rsid w:val="00B95FAF"/>
    <w:rsid w:val="00BD49F8"/>
    <w:rsid w:val="00C9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C18223-D7B6-444A-9208-FACA8F90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D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4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9F8"/>
  </w:style>
  <w:style w:type="paragraph" w:styleId="Piedepgina">
    <w:name w:val="footer"/>
    <w:basedOn w:val="Normal"/>
    <w:link w:val="PiedepginaCar"/>
    <w:uiPriority w:val="99"/>
    <w:unhideWhenUsed/>
    <w:rsid w:val="00BD4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Pérez Ordoñez</dc:creator>
  <cp:keywords/>
  <dc:description/>
  <cp:lastModifiedBy>Cecilia Pérez Ordoñez</cp:lastModifiedBy>
  <cp:revision>5</cp:revision>
  <dcterms:created xsi:type="dcterms:W3CDTF">2018-07-06T19:08:00Z</dcterms:created>
  <dcterms:modified xsi:type="dcterms:W3CDTF">2018-07-12T19:33:00Z</dcterms:modified>
</cp:coreProperties>
</file>