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B9" w:rsidRDefault="005F2A52" w:rsidP="008D1FB9">
      <w:pPr>
        <w:pStyle w:val="NormalWeb"/>
        <w:numPr>
          <w:ilvl w:val="0"/>
          <w:numId w:val="1"/>
        </w:numPr>
        <w:spacing w:before="0" w:beforeAutospacing="0" w:after="120" w:afterAutospacing="0"/>
        <w:ind w:left="0"/>
      </w:pPr>
      <w:r w:rsidRPr="00FE0D86">
        <w:t>Un dato nuevo sobre el caso revisado (noticia, artículo, video, gráfica).</w:t>
      </w:r>
    </w:p>
    <w:p w:rsidR="00B57E0F" w:rsidRPr="008D1FB9" w:rsidRDefault="00B57E0F" w:rsidP="008D1FB9">
      <w:pPr>
        <w:pStyle w:val="NormalWeb"/>
        <w:spacing w:before="0" w:beforeAutospacing="0" w:after="120" w:afterAutospacing="0"/>
      </w:pPr>
      <w:r w:rsidRPr="008D1FB9">
        <w:t>Sobre el proceso de las autonomías indígenas en Panamá, y reconociendo que mi conocimiento en relación a este tema es nuevo, recurriré a los siguientes documentos consultados en el internet:</w:t>
      </w:r>
    </w:p>
    <w:p w:rsidR="00B57E0F" w:rsidRPr="00B57E0F" w:rsidRDefault="00B57E0F" w:rsidP="008D1FB9">
      <w:pPr>
        <w:spacing w:line="240" w:lineRule="auto"/>
        <w:jc w:val="left"/>
        <w:rPr>
          <w:rFonts w:eastAsia="Times New Roman" w:cs="Times New Roman"/>
          <w:szCs w:val="24"/>
          <w:lang w:val="es-MX" w:eastAsia="es-MX"/>
        </w:rPr>
      </w:pPr>
      <w:r w:rsidRPr="006261B3">
        <w:rPr>
          <w:rFonts w:cs="Times New Roman"/>
          <w:szCs w:val="24"/>
        </w:rPr>
        <w:t xml:space="preserve">En 2009, </w:t>
      </w:r>
      <w:r w:rsidRPr="00B57E0F">
        <w:rPr>
          <w:rFonts w:eastAsia="Times New Roman" w:cs="Times New Roman"/>
          <w:szCs w:val="24"/>
          <w:lang w:val="es-MX" w:eastAsia="es-MX"/>
        </w:rPr>
        <w:t>el Centro</w:t>
      </w:r>
      <w:r w:rsidRPr="006261B3">
        <w:rPr>
          <w:rFonts w:eastAsia="Times New Roman" w:cs="Times New Roman"/>
          <w:szCs w:val="24"/>
          <w:lang w:val="es-MX" w:eastAsia="es-MX"/>
        </w:rPr>
        <w:t xml:space="preserve"> de Estudios para el Desarrollo </w:t>
      </w:r>
      <w:r w:rsidRPr="00B57E0F">
        <w:rPr>
          <w:rFonts w:eastAsia="Times New Roman" w:cs="Times New Roman"/>
          <w:szCs w:val="24"/>
          <w:lang w:val="es-MX" w:eastAsia="es-MX"/>
        </w:rPr>
        <w:t xml:space="preserve">Laboral y Agrario (CEDLA) propició el </w:t>
      </w:r>
      <w:r w:rsidRPr="006261B3">
        <w:rPr>
          <w:rFonts w:eastAsia="Times New Roman" w:cs="Times New Roman"/>
          <w:szCs w:val="24"/>
          <w:lang w:val="es-MX" w:eastAsia="es-MX"/>
        </w:rPr>
        <w:t>“</w:t>
      </w:r>
      <w:r w:rsidRPr="00B57E0F">
        <w:rPr>
          <w:rFonts w:eastAsia="Times New Roman" w:cs="Times New Roman"/>
          <w:szCs w:val="24"/>
          <w:lang w:val="es-MX" w:eastAsia="es-MX"/>
        </w:rPr>
        <w:t>Foro Internacional Procesos Políticos y Autonómicos del Movimiento Indígena Originario en América Latina y Bolivia, avances y desafíos</w:t>
      </w:r>
      <w:r w:rsidRPr="006261B3">
        <w:rPr>
          <w:rFonts w:eastAsia="Times New Roman" w:cs="Times New Roman"/>
          <w:szCs w:val="24"/>
          <w:lang w:val="es-MX" w:eastAsia="es-MX"/>
        </w:rPr>
        <w:t xml:space="preserve">”, y revisaremos el trabajo presentado </w:t>
      </w:r>
      <w:r w:rsidR="006261B3" w:rsidRPr="006261B3">
        <w:rPr>
          <w:rFonts w:eastAsia="Times New Roman" w:cs="Times New Roman"/>
          <w:szCs w:val="24"/>
          <w:lang w:val="es-MX" w:eastAsia="es-MX"/>
        </w:rPr>
        <w:t>por Heraclio</w:t>
      </w:r>
      <w:r w:rsidRPr="00B57E0F">
        <w:rPr>
          <w:rFonts w:eastAsia="Times New Roman" w:cs="Times New Roman"/>
          <w:szCs w:val="24"/>
          <w:lang w:val="es-MX" w:eastAsia="es-MX"/>
        </w:rPr>
        <w:t xml:space="preserve"> López </w:t>
      </w:r>
      <w:proofErr w:type="gramStart"/>
      <w:r w:rsidRPr="00B57E0F">
        <w:rPr>
          <w:rFonts w:eastAsia="Times New Roman" w:cs="Times New Roman"/>
          <w:szCs w:val="24"/>
          <w:lang w:val="es-MX" w:eastAsia="es-MX"/>
        </w:rPr>
        <w:t>Hernández</w:t>
      </w:r>
      <w:r w:rsidRPr="006261B3">
        <w:rPr>
          <w:rFonts w:eastAsia="Times New Roman" w:cs="Times New Roman"/>
          <w:szCs w:val="24"/>
          <w:lang w:val="es-MX" w:eastAsia="es-MX"/>
        </w:rPr>
        <w:t xml:space="preserve">  “</w:t>
      </w:r>
      <w:proofErr w:type="gramEnd"/>
      <w:r w:rsidRPr="006261B3">
        <w:rPr>
          <w:rFonts w:eastAsia="Times New Roman" w:cs="Times New Roman"/>
          <w:szCs w:val="24"/>
          <w:lang w:val="es-MX" w:eastAsia="es-MX"/>
        </w:rPr>
        <w:t xml:space="preserve">Procesos políticos y </w:t>
      </w:r>
      <w:r w:rsidRPr="00B57E0F">
        <w:rPr>
          <w:rFonts w:eastAsia="Times New Roman" w:cs="Times New Roman"/>
          <w:szCs w:val="24"/>
          <w:lang w:val="es-MX" w:eastAsia="es-MX"/>
        </w:rPr>
        <w:t>autonómicos del movimiento indígena en Panamá</w:t>
      </w:r>
      <w:r w:rsidR="006261B3">
        <w:rPr>
          <w:rFonts w:eastAsia="Times New Roman" w:cs="Times New Roman"/>
          <w:szCs w:val="24"/>
          <w:lang w:val="es-MX" w:eastAsia="es-MX"/>
        </w:rPr>
        <w:t>” revisado en:</w:t>
      </w:r>
    </w:p>
    <w:p w:rsidR="00B57E0F" w:rsidRPr="008D1FB9" w:rsidRDefault="00B57E0F" w:rsidP="008D1FB9">
      <w:pPr>
        <w:spacing w:line="240" w:lineRule="auto"/>
        <w:jc w:val="left"/>
        <w:rPr>
          <w:rFonts w:eastAsia="Times New Roman" w:cs="Times New Roman"/>
          <w:sz w:val="30"/>
          <w:szCs w:val="30"/>
          <w:lang w:val="es-MX" w:eastAsia="es-MX"/>
        </w:rPr>
      </w:pPr>
      <w:hyperlink r:id="rId5" w:history="1">
        <w:r w:rsidRPr="009A2A0C">
          <w:rPr>
            <w:rStyle w:val="Hipervnculo"/>
            <w:rFonts w:cs="Times New Roman"/>
            <w:szCs w:val="24"/>
          </w:rPr>
          <w:t>https://www.cedla.org/sites/default/files/autonomias_indigenas_originarias_memoria_del_foro_internacional.pdf</w:t>
        </w:r>
      </w:hyperlink>
    </w:p>
    <w:p w:rsidR="00B57E0F" w:rsidRDefault="006261B3" w:rsidP="008D1FB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fin de conocer y obtener datos sobre la realidad indígena, consultamos un documento, que particularmente por el interés de conocer las características socioculturales de Panamá, consultando en:</w:t>
      </w:r>
      <w:hyperlink r:id="rId6" w:history="1">
        <w:r w:rsidR="00B57E0F" w:rsidRPr="009A2A0C">
          <w:rPr>
            <w:rStyle w:val="Hipervnculo"/>
            <w:rFonts w:cs="Times New Roman"/>
            <w:szCs w:val="24"/>
          </w:rPr>
          <w:t>http://www.libertadciudadana.org/archivos/Biblioteca%20Virtual/Documentos%20Informes%20Indigenas/Documentos%20Internacionales/Derecho/Pueblos%20Indigenas%20y%20Derechos%20Constitucionales/Panama.pdf</w:t>
        </w:r>
      </w:hyperlink>
    </w:p>
    <w:p w:rsidR="008D1FB9" w:rsidRPr="008D1FB9" w:rsidRDefault="008D1FB9" w:rsidP="008D1FB9">
      <w:pPr>
        <w:spacing w:line="240" w:lineRule="auto"/>
        <w:rPr>
          <w:rFonts w:eastAsia="Times New Roman" w:cs="Times New Roman"/>
          <w:szCs w:val="24"/>
          <w:lang w:val="es-MX" w:eastAsia="es-MX"/>
        </w:rPr>
      </w:pPr>
      <w:r w:rsidRPr="008D1FB9">
        <w:rPr>
          <w:rFonts w:cs="Times New Roman"/>
          <w:szCs w:val="24"/>
        </w:rPr>
        <w:t>López Hernández (2010) presenta la</w:t>
      </w:r>
      <w:r w:rsidRPr="008D1FB9">
        <w:rPr>
          <w:rFonts w:eastAsia="Times New Roman" w:cs="Times New Roman"/>
          <w:szCs w:val="24"/>
          <w:lang w:val="es-MX" w:eastAsia="es-MX"/>
        </w:rPr>
        <w:t xml:space="preserve"> experiencia de Kuna </w:t>
      </w:r>
      <w:proofErr w:type="spellStart"/>
      <w:r w:rsidRPr="008D1FB9">
        <w:rPr>
          <w:rFonts w:eastAsia="Times New Roman" w:cs="Times New Roman"/>
          <w:szCs w:val="24"/>
          <w:lang w:val="es-MX" w:eastAsia="es-MX"/>
        </w:rPr>
        <w:t>Yala</w:t>
      </w:r>
      <w:proofErr w:type="spellEnd"/>
      <w:r w:rsidRPr="008D1FB9">
        <w:rPr>
          <w:rFonts w:eastAsia="Times New Roman" w:cs="Times New Roman"/>
          <w:szCs w:val="24"/>
          <w:lang w:val="es-MX" w:eastAsia="es-MX"/>
        </w:rPr>
        <w:t xml:space="preserve"> como caso específico de autonomía étnica y democracia participativa, el pueblo Kuna </w:t>
      </w:r>
      <w:proofErr w:type="spellStart"/>
      <w:r w:rsidRPr="008D1FB9">
        <w:rPr>
          <w:rFonts w:eastAsia="Times New Roman" w:cs="Times New Roman"/>
          <w:szCs w:val="24"/>
          <w:lang w:val="es-MX" w:eastAsia="es-MX"/>
        </w:rPr>
        <w:t>Yala</w:t>
      </w:r>
      <w:proofErr w:type="spellEnd"/>
      <w:r w:rsidRPr="008D1FB9">
        <w:rPr>
          <w:rFonts w:eastAsia="Times New Roman" w:cs="Times New Roman"/>
          <w:szCs w:val="24"/>
          <w:lang w:val="es-MX" w:eastAsia="es-MX"/>
        </w:rPr>
        <w:t xml:space="preserve"> “</w:t>
      </w:r>
      <w:r>
        <w:rPr>
          <w:rFonts w:eastAsia="Times New Roman" w:cs="Times New Roman"/>
          <w:szCs w:val="24"/>
          <w:lang w:val="es-MX" w:eastAsia="es-MX"/>
        </w:rPr>
        <w:t>…</w:t>
      </w:r>
      <w:r w:rsidRPr="008D1FB9">
        <w:rPr>
          <w:rFonts w:eastAsia="Times New Roman" w:cs="Times New Roman"/>
          <w:szCs w:val="24"/>
          <w:lang w:val="es-MX" w:eastAsia="es-MX"/>
        </w:rPr>
        <w:t>ubicada en el litoral del Caribe panameño. Comprende una franja de tierra de 230 Km de Procesos políticos y autonómicos del movimiento indígena en Panamá longitud y entre 10 y 20 Km de ancho. La parte de tierra firme tiene una superficie de 3.220 Km², aproximadamente. Además, cuenta con un área marítima, que incluye los arrecifes, los cayos, más de 360 islas y las zonas de pesca. La comarca tiene una superficie total de más de 5.400 Km” (López Hernández, 2010:109-110)</w:t>
      </w:r>
    </w:p>
    <w:p w:rsidR="008D1FB9" w:rsidRPr="008D1FB9" w:rsidRDefault="008D1FB9" w:rsidP="008D1FB9">
      <w:pPr>
        <w:spacing w:line="240" w:lineRule="auto"/>
        <w:rPr>
          <w:rFonts w:eastAsia="Times New Roman" w:cs="Times New Roman"/>
          <w:szCs w:val="24"/>
          <w:lang w:val="es-MX" w:eastAsia="es-MX"/>
        </w:rPr>
      </w:pPr>
      <w:r w:rsidRPr="00EB35C2">
        <w:rPr>
          <w:rFonts w:eastAsia="Times New Roman" w:cs="Times New Roman"/>
          <w:szCs w:val="24"/>
          <w:lang w:val="es-MX" w:eastAsia="es-MX"/>
        </w:rPr>
        <w:t xml:space="preserve">Según el autor mencionado, </w:t>
      </w:r>
      <w:r w:rsidR="00EB35C2" w:rsidRPr="00EB35C2">
        <w:rPr>
          <w:rFonts w:eastAsia="Times New Roman" w:cs="Times New Roman"/>
          <w:szCs w:val="24"/>
          <w:lang w:val="es-MX" w:eastAsia="es-MX"/>
        </w:rPr>
        <w:t xml:space="preserve">el pueblo de Kuna </w:t>
      </w:r>
      <w:proofErr w:type="spellStart"/>
      <w:r w:rsidR="00EB35C2" w:rsidRPr="00EB35C2">
        <w:rPr>
          <w:rFonts w:eastAsia="Times New Roman" w:cs="Times New Roman"/>
          <w:szCs w:val="24"/>
          <w:lang w:val="es-MX" w:eastAsia="es-MX"/>
        </w:rPr>
        <w:t>Yala</w:t>
      </w:r>
      <w:proofErr w:type="spellEnd"/>
      <w:r w:rsidR="00EB35C2" w:rsidRPr="00EB35C2">
        <w:rPr>
          <w:rFonts w:eastAsia="Times New Roman" w:cs="Times New Roman"/>
          <w:szCs w:val="24"/>
          <w:lang w:val="es-MX" w:eastAsia="es-MX"/>
        </w:rPr>
        <w:t>,</w:t>
      </w:r>
      <w:r w:rsidR="00EB35C2">
        <w:rPr>
          <w:rFonts w:eastAsia="Times New Roman" w:cs="Times New Roman"/>
          <w:szCs w:val="24"/>
          <w:lang w:val="es-MX" w:eastAsia="es-MX"/>
        </w:rPr>
        <w:t xml:space="preserve"> constituido por 49 comunidades,</w:t>
      </w:r>
      <w:r w:rsidR="00EB35C2" w:rsidRPr="00EB35C2">
        <w:rPr>
          <w:rFonts w:eastAsia="Times New Roman" w:cs="Times New Roman"/>
          <w:szCs w:val="24"/>
          <w:lang w:val="es-MX" w:eastAsia="es-MX"/>
        </w:rPr>
        <w:t xml:space="preserve"> habla </w:t>
      </w:r>
      <w:proofErr w:type="gramStart"/>
      <w:r w:rsidR="00EB35C2">
        <w:rPr>
          <w:rFonts w:eastAsia="Times New Roman" w:cs="Times New Roman"/>
          <w:szCs w:val="24"/>
          <w:lang w:val="es-MX" w:eastAsia="es-MX"/>
        </w:rPr>
        <w:t>el</w:t>
      </w:r>
      <w:r w:rsidR="00EB35C2" w:rsidRPr="00EB35C2">
        <w:rPr>
          <w:rFonts w:eastAsia="Times New Roman" w:cs="Times New Roman"/>
          <w:szCs w:val="24"/>
          <w:lang w:val="es-MX" w:eastAsia="es-MX"/>
        </w:rPr>
        <w:t xml:space="preserve"> kuna</w:t>
      </w:r>
      <w:proofErr w:type="gramEnd"/>
      <w:r w:rsidR="00EB35C2" w:rsidRPr="00EB35C2">
        <w:rPr>
          <w:rFonts w:eastAsia="Times New Roman" w:cs="Times New Roman"/>
          <w:szCs w:val="24"/>
          <w:lang w:val="es-MX" w:eastAsia="es-MX"/>
        </w:rPr>
        <w:t xml:space="preserve"> que pertenece a la familia </w:t>
      </w:r>
      <w:proofErr w:type="spellStart"/>
      <w:r w:rsidR="00EB35C2" w:rsidRPr="00EB35C2">
        <w:rPr>
          <w:szCs w:val="24"/>
        </w:rPr>
        <w:t>macrochibcha</w:t>
      </w:r>
      <w:proofErr w:type="spellEnd"/>
      <w:r w:rsidR="00EB35C2" w:rsidRPr="00EB35C2">
        <w:rPr>
          <w:szCs w:val="24"/>
        </w:rPr>
        <w:t xml:space="preserve">; un aspecto importante se refiere a accesos y posesión de las tierras, en la que se reconoce: “…la </w:t>
      </w:r>
      <w:r w:rsidR="00EB35C2" w:rsidRPr="00EB35C2">
        <w:rPr>
          <w:rFonts w:eastAsia="Times New Roman" w:cs="Times New Roman"/>
          <w:szCs w:val="24"/>
          <w:lang w:val="es-MX" w:eastAsia="es-MX"/>
        </w:rPr>
        <w:t>propiedad privada, las tierras comunales trabajadas como parcelas familiares, tierras de organizaciones locales, tierras comunitarias, tierras trabajadas por un grupo de hombres</w:t>
      </w:r>
      <w:r w:rsidR="00EB35C2">
        <w:rPr>
          <w:rFonts w:eastAsia="Times New Roman" w:cs="Times New Roman"/>
          <w:szCs w:val="24"/>
          <w:lang w:val="es-MX" w:eastAsia="es-MX"/>
        </w:rPr>
        <w:t>” (López Hernández, 2010:111</w:t>
      </w:r>
      <w:r w:rsidR="00EB35C2" w:rsidRPr="008D1FB9">
        <w:rPr>
          <w:rFonts w:eastAsia="Times New Roman" w:cs="Times New Roman"/>
          <w:szCs w:val="24"/>
          <w:lang w:val="es-MX" w:eastAsia="es-MX"/>
        </w:rPr>
        <w:t>)</w:t>
      </w:r>
    </w:p>
    <w:p w:rsidR="00EB35C2" w:rsidRDefault="00B33E28" w:rsidP="008D1FB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Las</w:t>
      </w:r>
      <w:r w:rsidR="00EB35C2">
        <w:rPr>
          <w:rFonts w:cs="Times New Roman"/>
          <w:szCs w:val="24"/>
        </w:rPr>
        <w:t xml:space="preserve"> luchas</w:t>
      </w:r>
      <w:r>
        <w:rPr>
          <w:rFonts w:cs="Times New Roman"/>
          <w:szCs w:val="24"/>
        </w:rPr>
        <w:t xml:space="preserve"> por la</w:t>
      </w:r>
      <w:r w:rsidR="00EB35C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autonomía</w:t>
      </w:r>
      <w:r w:rsidR="00EB35C2">
        <w:rPr>
          <w:rFonts w:cs="Times New Roman"/>
          <w:szCs w:val="24"/>
        </w:rPr>
        <w:t xml:space="preserve"> del pueblo</w:t>
      </w:r>
      <w:r>
        <w:rPr>
          <w:rFonts w:cs="Times New Roman"/>
          <w:szCs w:val="24"/>
        </w:rPr>
        <w:t xml:space="preserve"> Kuna Yala, son reflejadas y tienen una data desde año 1726 hasta que, en el año 1995, se redactó la Ley Fundamental de la comarca Kuna Yala, en la cual se reconocen existencia y jurisdicción de las instituciones políticas propias, la educación debería ser intercultural y bilingüe, los recursos naturales y la biodiversidad regional son declarados de patrimonio del pueblo Kuna, se reconoce la propiedad colectiva, la explotación minera está sujeto a la autorización del Congreso General Kuna, entre otros.</w:t>
      </w:r>
    </w:p>
    <w:p w:rsidR="007061B3" w:rsidRPr="00DB08E5" w:rsidRDefault="003C7942" w:rsidP="003C7942">
      <w:pPr>
        <w:spacing w:line="240" w:lineRule="auto"/>
        <w:rPr>
          <w:rFonts w:eastAsia="Times New Roman" w:cs="Times New Roman"/>
          <w:szCs w:val="24"/>
          <w:lang w:val="es-MX" w:eastAsia="es-MX"/>
        </w:rPr>
      </w:pPr>
      <w:r w:rsidRPr="003C7942">
        <w:rPr>
          <w:rFonts w:cs="Times New Roman"/>
          <w:szCs w:val="24"/>
        </w:rPr>
        <w:t>Un aspecto central está referido a la cultura, posiciona la reivindicación y el rol del bagaje cultural del pueblo Kuna, en sentido de “</w:t>
      </w:r>
      <w:r w:rsidRPr="003C7942">
        <w:rPr>
          <w:rFonts w:eastAsia="Times New Roman" w:cs="Times New Roman"/>
          <w:szCs w:val="24"/>
          <w:lang w:val="es-MX" w:eastAsia="es-MX"/>
        </w:rPr>
        <w:t xml:space="preserve">La misma cosmovisión kuna es todavía un eficaz instrumento operativo para pensar y actuar sobre una realidad cambiante, que ahora incluye la presencia del Estado panameño. Todos los sucesos deben ser interpretados en función del </w:t>
      </w:r>
      <w:proofErr w:type="spellStart"/>
      <w:r w:rsidRPr="003C7942">
        <w:rPr>
          <w:rFonts w:eastAsia="Times New Roman" w:cs="Times New Roman"/>
          <w:szCs w:val="24"/>
          <w:lang w:val="es-MX" w:eastAsia="es-MX"/>
        </w:rPr>
        <w:t>Bab</w:t>
      </w:r>
      <w:proofErr w:type="spellEnd"/>
      <w:r w:rsidRPr="003C7942">
        <w:rPr>
          <w:rFonts w:eastAsia="Times New Roman" w:cs="Times New Roman"/>
          <w:szCs w:val="24"/>
          <w:lang w:val="es-MX" w:eastAsia="es-MX"/>
        </w:rPr>
        <w:t xml:space="preserve"> </w:t>
      </w:r>
      <w:proofErr w:type="spellStart"/>
      <w:r w:rsidRPr="003C7942">
        <w:rPr>
          <w:rFonts w:eastAsia="Times New Roman" w:cs="Times New Roman"/>
          <w:szCs w:val="24"/>
          <w:lang w:val="es-MX" w:eastAsia="es-MX"/>
        </w:rPr>
        <w:t>Igala</w:t>
      </w:r>
      <w:proofErr w:type="spellEnd"/>
      <w:r w:rsidRPr="003C7942">
        <w:rPr>
          <w:rFonts w:eastAsia="Times New Roman" w:cs="Times New Roman"/>
          <w:szCs w:val="24"/>
          <w:lang w:val="es-MX" w:eastAsia="es-MX"/>
        </w:rPr>
        <w:t>, el camino de Baba y Nana, complejo concepto cultural que alude en forma metafórica a la experiencia kuna de lo sagrado y que se expresa tanto en conceptos como en una vasta tradición narrativa, que constituye el núcleo de la teoría local del conocimiento.”</w:t>
      </w:r>
      <w:r>
        <w:rPr>
          <w:rFonts w:eastAsia="Times New Roman" w:cs="Times New Roman"/>
          <w:szCs w:val="24"/>
          <w:lang w:val="es-MX" w:eastAsia="es-MX"/>
        </w:rPr>
        <w:t xml:space="preserve"> </w:t>
      </w:r>
      <w:r>
        <w:rPr>
          <w:rFonts w:eastAsia="Times New Roman" w:cs="Times New Roman"/>
          <w:szCs w:val="24"/>
          <w:lang w:val="es-MX" w:eastAsia="es-MX"/>
        </w:rPr>
        <w:t>(López Hernández, 2010:</w:t>
      </w:r>
      <w:r>
        <w:rPr>
          <w:rFonts w:eastAsia="Times New Roman" w:cs="Times New Roman"/>
          <w:szCs w:val="24"/>
          <w:lang w:val="es-MX" w:eastAsia="es-MX"/>
        </w:rPr>
        <w:t>117</w:t>
      </w:r>
      <w:r w:rsidRPr="008D1FB9">
        <w:rPr>
          <w:rFonts w:eastAsia="Times New Roman" w:cs="Times New Roman"/>
          <w:szCs w:val="24"/>
          <w:lang w:val="es-MX" w:eastAsia="es-MX"/>
        </w:rPr>
        <w:t>)</w:t>
      </w:r>
    </w:p>
    <w:p w:rsidR="005F2A52" w:rsidRPr="00FE0D86" w:rsidRDefault="005F2A52" w:rsidP="008D1FB9">
      <w:pPr>
        <w:pStyle w:val="NormalWeb"/>
        <w:numPr>
          <w:ilvl w:val="0"/>
          <w:numId w:val="1"/>
        </w:numPr>
        <w:spacing w:before="0" w:beforeAutospacing="0" w:after="120" w:afterAutospacing="0"/>
        <w:ind w:left="0"/>
      </w:pPr>
      <w:r w:rsidRPr="00FE0D86">
        <w:t>Un análisis, inquietud, reflexión sobre el caso.</w:t>
      </w:r>
    </w:p>
    <w:p w:rsidR="007061B3" w:rsidRDefault="007061B3" w:rsidP="008D1FB9">
      <w:pPr>
        <w:pStyle w:val="NormalWeb"/>
        <w:spacing w:before="0" w:beforeAutospacing="0" w:after="120" w:afterAutospacing="0"/>
        <w:jc w:val="both"/>
      </w:pPr>
      <w:r>
        <w:t xml:space="preserve">Un aspecto importante de la experiencia autonómica del pueblo Kuna </w:t>
      </w:r>
      <w:proofErr w:type="spellStart"/>
      <w:r>
        <w:t>Yala</w:t>
      </w:r>
      <w:proofErr w:type="spellEnd"/>
      <w:r>
        <w:t xml:space="preserve">, es la reivindicación de </w:t>
      </w:r>
      <w:r w:rsidR="00B85A76">
        <w:t xml:space="preserve">la cosmovisión, como una estrategia importante para el desarrollo de su proceso autonómico y </w:t>
      </w:r>
      <w:r w:rsidR="00B85A76">
        <w:lastRenderedPageBreak/>
        <w:t xml:space="preserve">también de relacionamiento con el </w:t>
      </w:r>
      <w:r w:rsidR="00117F06">
        <w:t>Estado y gobierno panameño. A</w:t>
      </w:r>
      <w:r w:rsidR="00B85A76">
        <w:t xml:space="preserve">lgunos aspectos importantes que se derivan de la forma de “ver y estar” en el mundo </w:t>
      </w:r>
      <w:r w:rsidR="00117F06">
        <w:t xml:space="preserve">del pueblo Kuna </w:t>
      </w:r>
      <w:proofErr w:type="spellStart"/>
      <w:r w:rsidR="00117F06">
        <w:t>Yala</w:t>
      </w:r>
      <w:proofErr w:type="spellEnd"/>
      <w:r w:rsidR="00117F06">
        <w:t>, son la siguientes:</w:t>
      </w:r>
    </w:p>
    <w:p w:rsidR="00117F06" w:rsidRDefault="00117F06" w:rsidP="00117F06">
      <w:pPr>
        <w:pStyle w:val="NormalWeb"/>
        <w:spacing w:before="0" w:beforeAutospacing="0" w:after="120" w:afterAutospacing="0"/>
        <w:jc w:val="both"/>
      </w:pPr>
      <w:r w:rsidRPr="00117F06">
        <w:t>El concepto de territorio Kuna, que significa como una porción del universo donde está habitado por todo tipo de seres con espíritu</w:t>
      </w:r>
      <w:r>
        <w:t>/</w:t>
      </w:r>
      <w:proofErr w:type="spellStart"/>
      <w:r>
        <w:t>burba</w:t>
      </w:r>
      <w:proofErr w:type="spellEnd"/>
      <w:r w:rsidRPr="00117F06">
        <w:t xml:space="preserve"> (plantas, hombres, cerros, ríos o animales)</w:t>
      </w:r>
      <w:r>
        <w:t>, constituyendo una comunidad espiritual que se comunican.</w:t>
      </w:r>
    </w:p>
    <w:p w:rsidR="0000197D" w:rsidRDefault="00117F06" w:rsidP="00117F06">
      <w:pPr>
        <w:pStyle w:val="NormalWeb"/>
        <w:spacing w:before="0" w:beforeAutospacing="0" w:after="120" w:afterAutospacing="0"/>
        <w:jc w:val="both"/>
      </w:pPr>
      <w:r>
        <w:t xml:space="preserve">El territorio Kuna es un lugar de vida y muerte, </w:t>
      </w:r>
      <w:r w:rsidR="0000197D">
        <w:t xml:space="preserve">como parte consustancial de la dinámica de interacción e </w:t>
      </w:r>
      <w:proofErr w:type="spellStart"/>
      <w:r w:rsidR="0000197D">
        <w:t>interelacionamiento</w:t>
      </w:r>
      <w:proofErr w:type="spellEnd"/>
      <w:r w:rsidR="0000197D">
        <w:t xml:space="preserve"> entre los seres espirituales que velan y buscan la convivencia armónica.</w:t>
      </w:r>
    </w:p>
    <w:p w:rsidR="0000197D" w:rsidRPr="00802FEE" w:rsidRDefault="0000197D" w:rsidP="00117F06">
      <w:pPr>
        <w:pStyle w:val="NormalWeb"/>
        <w:spacing w:before="0" w:beforeAutospacing="0" w:after="120" w:afterAutospacing="0"/>
        <w:jc w:val="both"/>
      </w:pPr>
      <w:r w:rsidRPr="0000197D">
        <w:t>Finalmente, la fuerza del movimiento de los pueblos indígenas de Panamá</w:t>
      </w:r>
      <w:r w:rsidR="00802FEE">
        <w:t xml:space="preserve">, han logrado consolidar </w:t>
      </w:r>
      <w:r w:rsidRPr="0000197D">
        <w:t xml:space="preserve">una instancia organizativa </w:t>
      </w:r>
      <w:r w:rsidRPr="0000197D">
        <w:t xml:space="preserve">Coordinadora Nacional de Pueblos Indígenas de </w:t>
      </w:r>
      <w:r w:rsidRPr="0000197D">
        <w:t>Panamá (COONAPIP)</w:t>
      </w:r>
      <w:r>
        <w:t xml:space="preserve"> que ti</w:t>
      </w:r>
      <w:r w:rsidR="00802FEE">
        <w:t>ene como roles: fortalecimiento</w:t>
      </w:r>
      <w:r>
        <w:t xml:space="preserve"> de las estructuras institucionales indígenas y la relación</w:t>
      </w:r>
      <w:r w:rsidR="00802FEE">
        <w:t xml:space="preserve"> con el Estado, el análisis de temas de actualidad, entre otros.</w:t>
      </w:r>
    </w:p>
    <w:p w:rsidR="0000197D" w:rsidRDefault="0000197D" w:rsidP="00802FEE">
      <w:pPr>
        <w:pStyle w:val="NormalWeb"/>
        <w:spacing w:before="0" w:beforeAutospacing="0" w:after="120" w:afterAutospacing="0"/>
        <w:jc w:val="center"/>
      </w:pPr>
      <w:r w:rsidRPr="0000197D">
        <w:rPr>
          <w:noProof/>
        </w:rPr>
        <w:drawing>
          <wp:inline distT="0" distB="0" distL="0" distR="0">
            <wp:extent cx="5210175" cy="53816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97D" w:rsidRDefault="00802FEE" w:rsidP="00117F06">
      <w:pPr>
        <w:pStyle w:val="NormalWeb"/>
        <w:spacing w:before="0" w:beforeAutospacing="0" w:after="120" w:afterAutospacing="0"/>
        <w:jc w:val="both"/>
      </w:pPr>
      <w:r>
        <w:t xml:space="preserve">Fuente: </w:t>
      </w:r>
      <w:r>
        <w:t>(López Hernández, 2010:</w:t>
      </w:r>
      <w:r>
        <w:t>126</w:t>
      </w:r>
      <w:r w:rsidRPr="008D1FB9">
        <w:t>)</w:t>
      </w:r>
    </w:p>
    <w:p w:rsidR="00117F06" w:rsidRPr="00117F06" w:rsidRDefault="00117F06" w:rsidP="00117F06">
      <w:pPr>
        <w:pStyle w:val="NormalWeb"/>
        <w:spacing w:before="0" w:beforeAutospacing="0" w:after="120" w:afterAutospacing="0"/>
        <w:jc w:val="both"/>
      </w:pPr>
    </w:p>
    <w:p w:rsidR="005F2A52" w:rsidRDefault="005F2A52" w:rsidP="008D1FB9">
      <w:pPr>
        <w:pStyle w:val="NormalWeb"/>
        <w:numPr>
          <w:ilvl w:val="0"/>
          <w:numId w:val="1"/>
        </w:numPr>
        <w:spacing w:before="0" w:beforeAutospacing="0" w:after="120" w:afterAutospacing="0"/>
        <w:ind w:left="0"/>
      </w:pPr>
      <w:r w:rsidRPr="00FE0D86">
        <w:t>Y un comentario a otros aportes del grupo.</w:t>
      </w:r>
    </w:p>
    <w:p w:rsidR="005F2A52" w:rsidRDefault="005F2A52" w:rsidP="008D1FB9">
      <w:pPr>
        <w:pStyle w:val="NormalWeb"/>
        <w:spacing w:before="0" w:beforeAutospacing="0" w:after="120" w:afterAutospacing="0"/>
        <w:jc w:val="both"/>
      </w:pPr>
      <w:r>
        <w:t>Comparto los planteamientos</w:t>
      </w:r>
      <w:r w:rsidR="00802FEE">
        <w:t xml:space="preserve"> de varios </w:t>
      </w:r>
      <w:proofErr w:type="spellStart"/>
      <w:r w:rsidR="00802FEE">
        <w:t>compañer@s</w:t>
      </w:r>
      <w:proofErr w:type="spellEnd"/>
      <w:r w:rsidR="00802FEE">
        <w:t xml:space="preserve"> (Rogelio </w:t>
      </w:r>
      <w:proofErr w:type="spellStart"/>
      <w:r w:rsidR="00802FEE">
        <w:t>Calvimontes</w:t>
      </w:r>
      <w:proofErr w:type="spellEnd"/>
      <w:r w:rsidR="00802FEE">
        <w:t xml:space="preserve">, </w:t>
      </w:r>
      <w:proofErr w:type="spellStart"/>
      <w:r w:rsidR="00802FEE">
        <w:t>Murian</w:t>
      </w:r>
      <w:proofErr w:type="spellEnd"/>
      <w:r w:rsidR="00802FEE">
        <w:t xml:space="preserve"> Julieta </w:t>
      </w:r>
      <w:proofErr w:type="spellStart"/>
      <w:r w:rsidR="00802FEE">
        <w:t>Huacani</w:t>
      </w:r>
      <w:proofErr w:type="spellEnd"/>
      <w:r w:rsidR="00802FEE">
        <w:t xml:space="preserve">, Nelson Jorge </w:t>
      </w:r>
      <w:r w:rsidR="00647128">
        <w:t>Rodríguez, del</w:t>
      </w:r>
      <w:r w:rsidR="00802FEE">
        <w:t xml:space="preserve"> foro en sentido de que uno de los ejes de articulación de lucha de los pueblos indígenas en Panamá, la lucha por su territorio y los recurso</w:t>
      </w:r>
      <w:r w:rsidR="00647128">
        <w:t>s naturales, me parece que este es un asunto estratégico que gua el horizonte de la autodeterminación de los pueblos indígenas y también de su relacionamiento con el Estado panameño.</w:t>
      </w:r>
    </w:p>
    <w:p w:rsidR="00647128" w:rsidRDefault="00647128" w:rsidP="008D1FB9">
      <w:pPr>
        <w:pStyle w:val="NormalWeb"/>
        <w:spacing w:before="0" w:beforeAutospacing="0" w:after="120" w:afterAutospacing="0"/>
        <w:jc w:val="both"/>
      </w:pPr>
      <w:r>
        <w:t>El caso de Panamá, México, y Nicaragua nos muestra desde diversas perspectivas el posicionamiento que la autonomía está estrechamente vinculado con la autodeterminación de los pueblos indígenas.</w:t>
      </w:r>
      <w:bookmarkStart w:id="0" w:name="_GoBack"/>
      <w:bookmarkEnd w:id="0"/>
    </w:p>
    <w:p w:rsidR="00507B3F" w:rsidRDefault="00507B3F" w:rsidP="008D1FB9">
      <w:pPr>
        <w:spacing w:line="240" w:lineRule="auto"/>
      </w:pPr>
    </w:p>
    <w:sectPr w:rsidR="00507B3F" w:rsidSect="007C617C">
      <w:pgSz w:w="12240" w:h="15840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C5F1A"/>
    <w:multiLevelType w:val="hybridMultilevel"/>
    <w:tmpl w:val="01D007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E0BD3"/>
    <w:multiLevelType w:val="hybridMultilevel"/>
    <w:tmpl w:val="AEFED95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52"/>
    <w:rsid w:val="0000197D"/>
    <w:rsid w:val="00117F06"/>
    <w:rsid w:val="003C7942"/>
    <w:rsid w:val="00507B3F"/>
    <w:rsid w:val="005F2A52"/>
    <w:rsid w:val="006261B3"/>
    <w:rsid w:val="00647128"/>
    <w:rsid w:val="007061B3"/>
    <w:rsid w:val="007C617C"/>
    <w:rsid w:val="00802FEE"/>
    <w:rsid w:val="008D1FB9"/>
    <w:rsid w:val="00B33E28"/>
    <w:rsid w:val="00B57E0F"/>
    <w:rsid w:val="00B85A76"/>
    <w:rsid w:val="00EB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D9F2"/>
  <w15:chartTrackingRefBased/>
  <w15:docId w15:val="{90D80892-A03B-4AA3-89C3-E7B24701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52"/>
    <w:rPr>
      <w:rFonts w:ascii="Times New Roman" w:hAnsi="Times New Roman"/>
      <w:sz w:val="24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A5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5F2A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2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ertadciudadana.org/archivos/Biblioteca%20Virtual/Documentos%20Informes%20Indigenas/Documentos%20Internacionales/Derecho/Pueblos%20Indigenas%20y%20Derechos%20Constitucionales/Panama.pdf" TargetMode="External"/><Relationship Id="rId5" Type="http://schemas.openxmlformats.org/officeDocument/2006/relationships/hyperlink" Target="https://www.cedla.org/sites/default/files/autonomias_indigenas_originarias_memoria_del_foro_internacional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876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zambrana</dc:creator>
  <cp:keywords/>
  <dc:description/>
  <cp:lastModifiedBy>jaime zambrana</cp:lastModifiedBy>
  <cp:revision>2</cp:revision>
  <dcterms:created xsi:type="dcterms:W3CDTF">2018-06-24T11:49:00Z</dcterms:created>
  <dcterms:modified xsi:type="dcterms:W3CDTF">2018-06-24T14:49:00Z</dcterms:modified>
</cp:coreProperties>
</file>