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58D" w:rsidRPr="000E358D" w:rsidRDefault="000E358D" w:rsidP="000E358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358D">
        <w:rPr>
          <w:rFonts w:ascii="Times New Roman" w:hAnsi="Times New Roman" w:cs="Times New Roman"/>
          <w:b/>
          <w:sz w:val="24"/>
          <w:szCs w:val="24"/>
        </w:rPr>
        <w:t>¿Cuáles son las ideas fuerza de los expositores?</w:t>
      </w:r>
    </w:p>
    <w:p w:rsidR="000E358D" w:rsidRPr="000E358D" w:rsidRDefault="000E358D" w:rsidP="000E35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58D">
        <w:rPr>
          <w:rFonts w:ascii="Times New Roman" w:hAnsi="Times New Roman" w:cs="Times New Roman"/>
          <w:sz w:val="24"/>
          <w:szCs w:val="24"/>
        </w:rPr>
        <w:t>Rosales (2018) destaca que la organización territorial indígena influye en la conformación de las estructuras autonómicas, y ese el común denominador con variantes en la co</w:t>
      </w:r>
      <w:r>
        <w:rPr>
          <w:rFonts w:ascii="Times New Roman" w:hAnsi="Times New Roman" w:cs="Times New Roman"/>
          <w:sz w:val="24"/>
          <w:szCs w:val="24"/>
        </w:rPr>
        <w:t>nformación de las AIOCS</w:t>
      </w:r>
      <w:r w:rsidRPr="000E358D">
        <w:rPr>
          <w:rFonts w:ascii="Times New Roman" w:hAnsi="Times New Roman" w:cs="Times New Roman"/>
          <w:sz w:val="24"/>
          <w:szCs w:val="24"/>
        </w:rPr>
        <w:t xml:space="preserve"> es </w:t>
      </w:r>
      <w:r w:rsidR="00981DB9">
        <w:rPr>
          <w:rFonts w:ascii="Times New Roman" w:hAnsi="Times New Roman" w:cs="Times New Roman"/>
          <w:sz w:val="24"/>
          <w:szCs w:val="24"/>
        </w:rPr>
        <w:t xml:space="preserve">el caso de Salinas y Gutiérrez </w:t>
      </w:r>
      <w:r w:rsidRPr="000E358D">
        <w:rPr>
          <w:rFonts w:ascii="Times New Roman" w:hAnsi="Times New Roman" w:cs="Times New Roman"/>
          <w:sz w:val="24"/>
          <w:szCs w:val="24"/>
        </w:rPr>
        <w:t xml:space="preserve"> pero así mismo es interesante destacar que las distribución del poder</w:t>
      </w:r>
      <w:r w:rsidR="00981DB9">
        <w:rPr>
          <w:rFonts w:ascii="Times New Roman" w:hAnsi="Times New Roman" w:cs="Times New Roman"/>
          <w:sz w:val="24"/>
          <w:szCs w:val="24"/>
        </w:rPr>
        <w:t xml:space="preserve"> político</w:t>
      </w:r>
      <w:r w:rsidRPr="000E358D">
        <w:rPr>
          <w:rFonts w:ascii="Times New Roman" w:hAnsi="Times New Roman" w:cs="Times New Roman"/>
          <w:sz w:val="24"/>
          <w:szCs w:val="24"/>
        </w:rPr>
        <w:t xml:space="preserve"> no se  centra ya en una persona, (democracia representativa), por el contrario esta es p</w:t>
      </w:r>
      <w:r w:rsidR="00981DB9">
        <w:rPr>
          <w:rFonts w:ascii="Times New Roman" w:hAnsi="Times New Roman" w:cs="Times New Roman"/>
          <w:sz w:val="24"/>
          <w:szCs w:val="24"/>
        </w:rPr>
        <w:t xml:space="preserve">articipativa y este poder recae en </w:t>
      </w:r>
      <w:r w:rsidRPr="000E358D">
        <w:rPr>
          <w:rFonts w:ascii="Times New Roman" w:hAnsi="Times New Roman" w:cs="Times New Roman"/>
          <w:sz w:val="24"/>
          <w:szCs w:val="24"/>
        </w:rPr>
        <w:t xml:space="preserve"> asamblea</w:t>
      </w:r>
      <w:r w:rsidR="002C2502">
        <w:rPr>
          <w:rFonts w:ascii="Times New Roman" w:hAnsi="Times New Roman" w:cs="Times New Roman"/>
          <w:sz w:val="24"/>
          <w:szCs w:val="24"/>
        </w:rPr>
        <w:t xml:space="preserve">s y cabildos comunales, es decir democracia comunal directa y participativa, superando de esta manera una organización republicana, mono céntrica y </w:t>
      </w:r>
      <w:proofErr w:type="spellStart"/>
      <w:r w:rsidR="002C2502">
        <w:rPr>
          <w:rFonts w:ascii="Times New Roman" w:hAnsi="Times New Roman" w:cs="Times New Roman"/>
          <w:sz w:val="24"/>
          <w:szCs w:val="24"/>
        </w:rPr>
        <w:t>monocultural</w:t>
      </w:r>
      <w:proofErr w:type="spellEnd"/>
      <w:r w:rsidR="002C2502">
        <w:rPr>
          <w:rFonts w:ascii="Times New Roman" w:hAnsi="Times New Roman" w:cs="Times New Roman"/>
          <w:sz w:val="24"/>
          <w:szCs w:val="24"/>
        </w:rPr>
        <w:t>.</w:t>
      </w:r>
    </w:p>
    <w:p w:rsidR="000E358D" w:rsidRPr="000E358D" w:rsidRDefault="000E358D" w:rsidP="000E35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58D">
        <w:rPr>
          <w:rFonts w:ascii="Times New Roman" w:hAnsi="Times New Roman" w:cs="Times New Roman"/>
          <w:sz w:val="24"/>
          <w:szCs w:val="24"/>
        </w:rPr>
        <w:t>Para el caso de Martínez este pone énfasis en las competencias de las AIOCS y su reconocimiento por la CPE, sin embargo el aparato administrativo no adecua reglamentos para vi</w:t>
      </w:r>
      <w:r w:rsidR="002C2502">
        <w:rPr>
          <w:rFonts w:ascii="Times New Roman" w:hAnsi="Times New Roman" w:cs="Times New Roman"/>
          <w:sz w:val="24"/>
          <w:szCs w:val="24"/>
        </w:rPr>
        <w:t xml:space="preserve">abilizar recursos, así también </w:t>
      </w:r>
      <w:r w:rsidRPr="000E358D">
        <w:rPr>
          <w:rFonts w:ascii="Times New Roman" w:hAnsi="Times New Roman" w:cs="Times New Roman"/>
          <w:sz w:val="24"/>
          <w:szCs w:val="24"/>
        </w:rPr>
        <w:t xml:space="preserve">destaca que  las competencias que asumirá las AIOCS </w:t>
      </w:r>
      <w:r w:rsidR="002C2502">
        <w:rPr>
          <w:rFonts w:ascii="Times New Roman" w:hAnsi="Times New Roman" w:cs="Times New Roman"/>
          <w:sz w:val="24"/>
          <w:szCs w:val="24"/>
        </w:rPr>
        <w:t xml:space="preserve">está </w:t>
      </w:r>
      <w:r w:rsidRPr="000E358D">
        <w:rPr>
          <w:rFonts w:ascii="Times New Roman" w:hAnsi="Times New Roman" w:cs="Times New Roman"/>
          <w:sz w:val="24"/>
          <w:szCs w:val="24"/>
        </w:rPr>
        <w:t>en relación a l</w:t>
      </w:r>
      <w:r w:rsidR="002C2502">
        <w:rPr>
          <w:rFonts w:ascii="Times New Roman" w:hAnsi="Times New Roman" w:cs="Times New Roman"/>
          <w:sz w:val="24"/>
          <w:szCs w:val="24"/>
        </w:rPr>
        <w:t>a CPE  y la  ley de autonomías.</w:t>
      </w:r>
    </w:p>
    <w:p w:rsidR="000E358D" w:rsidRPr="000E358D" w:rsidRDefault="000E358D" w:rsidP="000E358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358D">
        <w:rPr>
          <w:rFonts w:ascii="Times New Roman" w:hAnsi="Times New Roman" w:cs="Times New Roman"/>
          <w:b/>
          <w:sz w:val="24"/>
          <w:szCs w:val="24"/>
        </w:rPr>
        <w:t>¿Cuáles son las dificultades o limitaciones descritas en las videoconferencias que consideras importante ser analizadas?</w:t>
      </w:r>
    </w:p>
    <w:p w:rsidR="000E358D" w:rsidRPr="000E358D" w:rsidRDefault="000E358D" w:rsidP="000E35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58D">
        <w:rPr>
          <w:rFonts w:ascii="Times New Roman" w:hAnsi="Times New Roman" w:cs="Times New Roman"/>
          <w:sz w:val="24"/>
          <w:szCs w:val="24"/>
        </w:rPr>
        <w:t>Entre las dificultades y limitaciones es la falta de articulación entre distintos niveles institucionales y Estado con la AIOCS, así como la centralización y transferencia de recursos. Por otro lado existes leyes contradictorias de las competencias de las AIOCS que  se ven obligados a la burocra</w:t>
      </w:r>
      <w:r>
        <w:rPr>
          <w:rFonts w:ascii="Times New Roman" w:hAnsi="Times New Roman" w:cs="Times New Roman"/>
          <w:sz w:val="24"/>
          <w:szCs w:val="24"/>
        </w:rPr>
        <w:t>cia estatal y normativas cont</w:t>
      </w:r>
      <w:r w:rsidR="00981DB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adictorias como la ley SAFCO. </w:t>
      </w:r>
    </w:p>
    <w:p w:rsidR="000E358D" w:rsidRPr="000E358D" w:rsidRDefault="000E358D" w:rsidP="000E358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358D">
        <w:rPr>
          <w:rFonts w:ascii="Times New Roman" w:hAnsi="Times New Roman" w:cs="Times New Roman"/>
          <w:b/>
          <w:sz w:val="24"/>
          <w:szCs w:val="24"/>
        </w:rPr>
        <w:t>¿Qué sugerencias aportes o complementaciones se puede considerar para la mejora de la gestión pública de los GAIOCS?</w:t>
      </w:r>
    </w:p>
    <w:p w:rsidR="000E358D" w:rsidRDefault="000E358D" w:rsidP="000E35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58D">
        <w:rPr>
          <w:rFonts w:ascii="Times New Roman" w:hAnsi="Times New Roman" w:cs="Times New Roman"/>
          <w:sz w:val="24"/>
          <w:szCs w:val="24"/>
        </w:rPr>
        <w:t xml:space="preserve">El intercambio de experiencias y un constante dialogo </w:t>
      </w:r>
      <w:r w:rsidR="002C2502">
        <w:rPr>
          <w:rFonts w:ascii="Times New Roman" w:hAnsi="Times New Roman" w:cs="Times New Roman"/>
          <w:sz w:val="24"/>
          <w:szCs w:val="24"/>
        </w:rPr>
        <w:t xml:space="preserve">y aprendizaje </w:t>
      </w:r>
      <w:r w:rsidRPr="000E358D">
        <w:rPr>
          <w:rFonts w:ascii="Times New Roman" w:hAnsi="Times New Roman" w:cs="Times New Roman"/>
          <w:sz w:val="24"/>
          <w:szCs w:val="24"/>
        </w:rPr>
        <w:t>entre las GAIOCS es importante en la mejora y aju</w:t>
      </w:r>
      <w:r>
        <w:rPr>
          <w:rFonts w:ascii="Times New Roman" w:hAnsi="Times New Roman" w:cs="Times New Roman"/>
          <w:sz w:val="24"/>
          <w:szCs w:val="24"/>
        </w:rPr>
        <w:t>stes en este este nuevo proceso, para el caso de</w:t>
      </w:r>
      <w:r w:rsidR="00981DB9">
        <w:rPr>
          <w:rFonts w:ascii="Times New Roman" w:hAnsi="Times New Roman" w:cs="Times New Roman"/>
          <w:sz w:val="24"/>
          <w:szCs w:val="24"/>
        </w:rPr>
        <w:t xml:space="preserve"> la autonomía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</w:t>
      </w:r>
      <w:r w:rsidR="00981DB9">
        <w:rPr>
          <w:rFonts w:ascii="Times New Roman" w:hAnsi="Times New Roman" w:cs="Times New Roman"/>
          <w:sz w:val="24"/>
          <w:szCs w:val="24"/>
        </w:rPr>
        <w:t xml:space="preserve">te  se ve afectado por el congelamiento de sus cuentas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DB9">
        <w:rPr>
          <w:rFonts w:ascii="Times New Roman" w:hAnsi="Times New Roman" w:cs="Times New Roman"/>
          <w:sz w:val="24"/>
          <w:szCs w:val="24"/>
        </w:rPr>
        <w:t>por falta de rendimiento de cuenta</w:t>
      </w:r>
      <w:r w:rsidR="0004033C">
        <w:rPr>
          <w:rFonts w:ascii="Times New Roman" w:hAnsi="Times New Roman" w:cs="Times New Roman"/>
          <w:sz w:val="24"/>
          <w:szCs w:val="24"/>
        </w:rPr>
        <w:t>s</w:t>
      </w:r>
      <w:r w:rsidR="00981DB9">
        <w:rPr>
          <w:rFonts w:ascii="Times New Roman" w:hAnsi="Times New Roman" w:cs="Times New Roman"/>
          <w:sz w:val="24"/>
          <w:szCs w:val="24"/>
        </w:rPr>
        <w:t xml:space="preserve"> de las anteriores gestiones municipales.</w:t>
      </w:r>
    </w:p>
    <w:p w:rsidR="000E358D" w:rsidRPr="000E358D" w:rsidRDefault="00981DB9" w:rsidP="000E35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0E358D" w:rsidRPr="000E358D">
        <w:rPr>
          <w:rFonts w:ascii="Times New Roman" w:hAnsi="Times New Roman" w:cs="Times New Roman"/>
          <w:sz w:val="24"/>
          <w:szCs w:val="24"/>
        </w:rPr>
        <w:t xml:space="preserve">or otro lado es necesario viabilizar normativas </w:t>
      </w:r>
      <w:r>
        <w:rPr>
          <w:rFonts w:ascii="Times New Roman" w:hAnsi="Times New Roman" w:cs="Times New Roman"/>
          <w:sz w:val="24"/>
          <w:szCs w:val="24"/>
        </w:rPr>
        <w:t xml:space="preserve">legislativas </w:t>
      </w:r>
      <w:r w:rsidR="000E358D" w:rsidRPr="000E358D">
        <w:rPr>
          <w:rFonts w:ascii="Times New Roman" w:hAnsi="Times New Roman" w:cs="Times New Roman"/>
          <w:sz w:val="24"/>
          <w:szCs w:val="24"/>
        </w:rPr>
        <w:t>que de</w:t>
      </w:r>
      <w:r>
        <w:rPr>
          <w:rFonts w:ascii="Times New Roman" w:hAnsi="Times New Roman" w:cs="Times New Roman"/>
          <w:sz w:val="24"/>
          <w:szCs w:val="24"/>
        </w:rPr>
        <w:t>n</w:t>
      </w:r>
      <w:r w:rsidR="000E358D" w:rsidRPr="000E358D">
        <w:rPr>
          <w:rFonts w:ascii="Times New Roman" w:hAnsi="Times New Roman" w:cs="Times New Roman"/>
          <w:sz w:val="24"/>
          <w:szCs w:val="24"/>
        </w:rPr>
        <w:t xml:space="preserve"> </w:t>
      </w:r>
      <w:r w:rsidR="000E358D" w:rsidRPr="000E358D">
        <w:rPr>
          <w:rFonts w:ascii="Times New Roman" w:hAnsi="Times New Roman" w:cs="Times New Roman"/>
          <w:sz w:val="24"/>
          <w:szCs w:val="24"/>
        </w:rPr>
        <w:t>posibilidad</w:t>
      </w:r>
      <w:r w:rsidR="000E358D" w:rsidRPr="000E358D">
        <w:rPr>
          <w:rFonts w:ascii="Times New Roman" w:hAnsi="Times New Roman" w:cs="Times New Roman"/>
          <w:sz w:val="24"/>
          <w:szCs w:val="24"/>
        </w:rPr>
        <w:t xml:space="preserve"> a las GAIOCS </w:t>
      </w:r>
      <w:r>
        <w:rPr>
          <w:rFonts w:ascii="Times New Roman" w:hAnsi="Times New Roman" w:cs="Times New Roman"/>
          <w:sz w:val="24"/>
          <w:szCs w:val="24"/>
        </w:rPr>
        <w:t xml:space="preserve">a un desarrollo normal de su  gestión, </w:t>
      </w:r>
      <w:r w:rsidR="002C2502">
        <w:rPr>
          <w:rFonts w:ascii="Times New Roman" w:hAnsi="Times New Roman" w:cs="Times New Roman"/>
          <w:sz w:val="24"/>
          <w:szCs w:val="24"/>
        </w:rPr>
        <w:t>es el caso de normativas contradictorias como la ley 1178.</w:t>
      </w:r>
      <w:bookmarkStart w:id="0" w:name="_GoBack"/>
      <w:bookmarkEnd w:id="0"/>
    </w:p>
    <w:p w:rsidR="00E97BA2" w:rsidRPr="000E358D" w:rsidRDefault="00E97BA2" w:rsidP="000E35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97BA2" w:rsidRPr="000E358D" w:rsidSect="006A0D61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58D"/>
    <w:rsid w:val="0004033C"/>
    <w:rsid w:val="000E358D"/>
    <w:rsid w:val="002C2502"/>
    <w:rsid w:val="003563CF"/>
    <w:rsid w:val="004D2370"/>
    <w:rsid w:val="006A0D61"/>
    <w:rsid w:val="00981DB9"/>
    <w:rsid w:val="00E80024"/>
    <w:rsid w:val="00E9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2018-07-17T19:38:00Z</dcterms:created>
  <dcterms:modified xsi:type="dcterms:W3CDTF">2018-07-17T20:21:00Z</dcterms:modified>
</cp:coreProperties>
</file>