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37" w:rsidRDefault="00952B37"/>
    <w:p w:rsidR="00D31E6F" w:rsidRDefault="00D31E6F"/>
    <w:p w:rsidR="00D31E6F" w:rsidRDefault="00D31E6F">
      <w:r w:rsidRPr="00D31E6F">
        <w:rPr>
          <w:noProof/>
          <w:lang w:eastAsia="es-BO"/>
        </w:rPr>
        <w:drawing>
          <wp:inline distT="0" distB="0" distL="0" distR="0">
            <wp:extent cx="4572000" cy="2741084"/>
            <wp:effectExtent l="19050" t="0" r="19050" b="2116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D31E6F" w:rsidRDefault="00D31E6F"/>
    <w:p w:rsidR="00D31E6F" w:rsidRDefault="00D31E6F">
      <w:r w:rsidRPr="00D31E6F">
        <w:rPr>
          <w:noProof/>
          <w:lang w:eastAsia="es-BO"/>
        </w:rPr>
        <w:drawing>
          <wp:inline distT="0" distB="0" distL="0" distR="0">
            <wp:extent cx="5612130" cy="3520440"/>
            <wp:effectExtent l="0" t="0" r="7620" b="381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31E6F" w:rsidRDefault="00D31E6F" w:rsidP="00D31E6F">
      <w:pPr>
        <w:jc w:val="center"/>
      </w:pPr>
      <w:r>
        <w:t>1817 NO</w:t>
      </w:r>
    </w:p>
    <w:p w:rsidR="00D31E6F" w:rsidRDefault="00D31E6F" w:rsidP="00D31E6F">
      <w:pPr>
        <w:jc w:val="center"/>
      </w:pPr>
      <w:r>
        <w:t>1730 SI</w:t>
      </w:r>
    </w:p>
    <w:sectPr w:rsidR="00D31E6F" w:rsidSect="00952B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1E6F"/>
    <w:rsid w:val="00573197"/>
    <w:rsid w:val="007C0FBD"/>
    <w:rsid w:val="00952B37"/>
    <w:rsid w:val="00BC6EDD"/>
    <w:rsid w:val="00D31E6F"/>
    <w:rsid w:val="00ED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B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Downloads\Datos%20aioc%20Macha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Downloads\Datos%20aioc%20Macha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B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BO"/>
              <a:t>POBLACIÓN</a:t>
            </a:r>
            <a:r>
              <a:rPr lang="es-BO" baseline="0"/>
              <a:t> ELECTORAL POR ZONA</a:t>
            </a:r>
            <a:endParaRPr lang="es-BO"/>
          </a:p>
        </c:rich>
      </c:tx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5.8333333333333418E-2"/>
                  <c:y val="-1.3899610519050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5555555555555055E-3"/>
                  <c:y val="-4.6332035063500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777777777777825E-2"/>
                  <c:y val="-1.853281402540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/>
                </a:pPr>
                <a:endParaRPr lang="es-B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'POR ZONAS'!$B$32:$B$34</c:f>
              <c:strCache>
                <c:ptCount val="3"/>
                <c:pt idx="0">
                  <c:v>Machareti Pueblo</c:v>
                </c:pt>
                <c:pt idx="1">
                  <c:v>Capitania IVO</c:v>
                </c:pt>
                <c:pt idx="2">
                  <c:v>Capitania Macharetí</c:v>
                </c:pt>
              </c:strCache>
            </c:strRef>
          </c:cat>
          <c:val>
            <c:numRef>
              <c:f>'POR ZONAS'!$C$32:$C$34</c:f>
              <c:numCache>
                <c:formatCode>General</c:formatCode>
                <c:ptCount val="3"/>
                <c:pt idx="0">
                  <c:v>1222</c:v>
                </c:pt>
                <c:pt idx="1">
                  <c:v>441</c:v>
                </c:pt>
                <c:pt idx="2">
                  <c:v>1394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5692800"/>
        <c:axId val="90530560"/>
        <c:axId val="90412800"/>
      </c:bar3DChart>
      <c:catAx>
        <c:axId val="45692800"/>
        <c:scaling>
          <c:orientation val="minMax"/>
        </c:scaling>
        <c:delete val="0"/>
        <c:axPos val="b"/>
        <c:majorTickMark val="none"/>
        <c:minorTickMark val="none"/>
        <c:tickLblPos val="nextTo"/>
        <c:crossAx val="90530560"/>
        <c:crosses val="autoZero"/>
        <c:auto val="1"/>
        <c:lblAlgn val="ctr"/>
        <c:lblOffset val="100"/>
        <c:noMultiLvlLbl val="0"/>
      </c:catAx>
      <c:valAx>
        <c:axId val="905305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5692800"/>
        <c:crosses val="autoZero"/>
        <c:crossBetween val="between"/>
      </c:valAx>
      <c:serAx>
        <c:axId val="90412800"/>
        <c:scaling>
          <c:orientation val="minMax"/>
        </c:scaling>
        <c:delete val="1"/>
        <c:axPos val="b"/>
        <c:majorTickMark val="out"/>
        <c:minorTickMark val="none"/>
        <c:tickLblPos val="nextTo"/>
        <c:crossAx val="90530560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B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invertIfNegative val="0"/>
          <c:cat>
            <c:strRef>
              <c:f>MESA!$B$3:$B$27</c:f>
              <c:strCache>
                <c:ptCount val="25"/>
                <c:pt idx="0">
                  <c:v>Machareti Pueblo</c:v>
                </c:pt>
                <c:pt idx="1">
                  <c:v>Machareti Pueblo</c:v>
                </c:pt>
                <c:pt idx="2">
                  <c:v>Machareti Pueblo</c:v>
                </c:pt>
                <c:pt idx="3">
                  <c:v>Machareti Pueblo</c:v>
                </c:pt>
                <c:pt idx="4">
                  <c:v>Machareti Pueblo</c:v>
                </c:pt>
                <c:pt idx="5">
                  <c:v>Machareti Pueblo</c:v>
                </c:pt>
                <c:pt idx="6">
                  <c:v>Tiguipa Estacion</c:v>
                </c:pt>
                <c:pt idx="7">
                  <c:v>Camatindi</c:v>
                </c:pt>
                <c:pt idx="8">
                  <c:v>Carandaiti</c:v>
                </c:pt>
                <c:pt idx="9">
                  <c:v>Carandaiti</c:v>
                </c:pt>
                <c:pt idx="10">
                  <c:v>Tiguipa Pueblo</c:v>
                </c:pt>
                <c:pt idx="11">
                  <c:v>Simbolar</c:v>
                </c:pt>
                <c:pt idx="12">
                  <c:v>La Victoria</c:v>
                </c:pt>
                <c:pt idx="13">
                  <c:v>Cuatro Vientos</c:v>
                </c:pt>
                <c:pt idx="14">
                  <c:v>Ivo</c:v>
                </c:pt>
                <c:pt idx="15">
                  <c:v>Ivo</c:v>
                </c:pt>
                <c:pt idx="16">
                  <c:v>Ivo</c:v>
                </c:pt>
                <c:pt idx="17">
                  <c:v>Timboycito</c:v>
                </c:pt>
                <c:pt idx="18">
                  <c:v>Ipati</c:v>
                </c:pt>
                <c:pt idx="19">
                  <c:v>Vinal El sol</c:v>
                </c:pt>
                <c:pt idx="20">
                  <c:v>Machareti Estacion</c:v>
                </c:pt>
                <c:pt idx="21">
                  <c:v>Ñancaroinza</c:v>
                </c:pt>
                <c:pt idx="22">
                  <c:v>Ñancaroinza</c:v>
                </c:pt>
                <c:pt idx="23">
                  <c:v>Tentami</c:v>
                </c:pt>
                <c:pt idx="24">
                  <c:v>Isipotindi</c:v>
                </c:pt>
              </c:strCache>
            </c:strRef>
          </c:cat>
          <c:val>
            <c:numRef>
              <c:f>MESA!$C$3:$C$27</c:f>
            </c:numRef>
          </c:val>
        </c:ser>
        <c:ser>
          <c:idx val="1"/>
          <c:order val="1"/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1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2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3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4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5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8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9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12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13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18"/>
            <c:invertIfNegative val="0"/>
            <c:bubble3D val="0"/>
            <c:spPr>
              <a:solidFill>
                <a:srgbClr val="92D050"/>
              </a:solidFill>
            </c:spPr>
          </c:dPt>
          <c:dLbls>
            <c:txPr>
              <a:bodyPr/>
              <a:lstStyle/>
              <a:p>
                <a:pPr>
                  <a:defRPr sz="600"/>
                </a:pPr>
                <a:endParaRPr lang="es-B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MESA!$B$3:$B$27</c:f>
              <c:strCache>
                <c:ptCount val="25"/>
                <c:pt idx="0">
                  <c:v>Machareti Pueblo</c:v>
                </c:pt>
                <c:pt idx="1">
                  <c:v>Machareti Pueblo</c:v>
                </c:pt>
                <c:pt idx="2">
                  <c:v>Machareti Pueblo</c:v>
                </c:pt>
                <c:pt idx="3">
                  <c:v>Machareti Pueblo</c:v>
                </c:pt>
                <c:pt idx="4">
                  <c:v>Machareti Pueblo</c:v>
                </c:pt>
                <c:pt idx="5">
                  <c:v>Machareti Pueblo</c:v>
                </c:pt>
                <c:pt idx="6">
                  <c:v>Tiguipa Estacion</c:v>
                </c:pt>
                <c:pt idx="7">
                  <c:v>Camatindi</c:v>
                </c:pt>
                <c:pt idx="8">
                  <c:v>Carandaiti</c:v>
                </c:pt>
                <c:pt idx="9">
                  <c:v>Carandaiti</c:v>
                </c:pt>
                <c:pt idx="10">
                  <c:v>Tiguipa Pueblo</c:v>
                </c:pt>
                <c:pt idx="11">
                  <c:v>Simbolar</c:v>
                </c:pt>
                <c:pt idx="12">
                  <c:v>La Victoria</c:v>
                </c:pt>
                <c:pt idx="13">
                  <c:v>Cuatro Vientos</c:v>
                </c:pt>
                <c:pt idx="14">
                  <c:v>Ivo</c:v>
                </c:pt>
                <c:pt idx="15">
                  <c:v>Ivo</c:v>
                </c:pt>
                <c:pt idx="16">
                  <c:v>Ivo</c:v>
                </c:pt>
                <c:pt idx="17">
                  <c:v>Timboycito</c:v>
                </c:pt>
                <c:pt idx="18">
                  <c:v>Ipati</c:v>
                </c:pt>
                <c:pt idx="19">
                  <c:v>Vinal El sol</c:v>
                </c:pt>
                <c:pt idx="20">
                  <c:v>Machareti Estacion</c:v>
                </c:pt>
                <c:pt idx="21">
                  <c:v>Ñancaroinza</c:v>
                </c:pt>
                <c:pt idx="22">
                  <c:v>Ñancaroinza</c:v>
                </c:pt>
                <c:pt idx="23">
                  <c:v>Tentami</c:v>
                </c:pt>
                <c:pt idx="24">
                  <c:v>Isipotindi</c:v>
                </c:pt>
              </c:strCache>
            </c:strRef>
          </c:cat>
          <c:val>
            <c:numRef>
              <c:f>MESA!$D$3:$D$27</c:f>
              <c:numCache>
                <c:formatCode>General</c:formatCode>
                <c:ptCount val="25"/>
                <c:pt idx="0">
                  <c:v>232</c:v>
                </c:pt>
                <c:pt idx="1">
                  <c:v>229</c:v>
                </c:pt>
                <c:pt idx="2">
                  <c:v>233</c:v>
                </c:pt>
                <c:pt idx="3">
                  <c:v>235</c:v>
                </c:pt>
                <c:pt idx="4">
                  <c:v>233</c:v>
                </c:pt>
                <c:pt idx="5">
                  <c:v>60</c:v>
                </c:pt>
                <c:pt idx="6">
                  <c:v>131</c:v>
                </c:pt>
                <c:pt idx="7">
                  <c:v>184</c:v>
                </c:pt>
                <c:pt idx="8">
                  <c:v>224</c:v>
                </c:pt>
                <c:pt idx="9">
                  <c:v>141</c:v>
                </c:pt>
                <c:pt idx="10">
                  <c:v>171</c:v>
                </c:pt>
                <c:pt idx="11">
                  <c:v>71</c:v>
                </c:pt>
                <c:pt idx="12">
                  <c:v>36</c:v>
                </c:pt>
                <c:pt idx="13">
                  <c:v>30</c:v>
                </c:pt>
                <c:pt idx="14">
                  <c:v>210</c:v>
                </c:pt>
                <c:pt idx="15">
                  <c:v>208</c:v>
                </c:pt>
                <c:pt idx="16">
                  <c:v>67</c:v>
                </c:pt>
                <c:pt idx="17">
                  <c:v>51</c:v>
                </c:pt>
                <c:pt idx="18">
                  <c:v>164</c:v>
                </c:pt>
                <c:pt idx="19">
                  <c:v>71</c:v>
                </c:pt>
                <c:pt idx="20">
                  <c:v>72</c:v>
                </c:pt>
                <c:pt idx="21">
                  <c:v>231</c:v>
                </c:pt>
                <c:pt idx="22">
                  <c:v>44</c:v>
                </c:pt>
                <c:pt idx="23">
                  <c:v>88</c:v>
                </c:pt>
                <c:pt idx="24">
                  <c:v>131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0674304"/>
        <c:axId val="91407872"/>
        <c:axId val="91377664"/>
      </c:bar3DChart>
      <c:catAx>
        <c:axId val="90674304"/>
        <c:scaling>
          <c:orientation val="minMax"/>
        </c:scaling>
        <c:delete val="0"/>
        <c:axPos val="b"/>
        <c:majorTickMark val="none"/>
        <c:minorTickMark val="none"/>
        <c:tickLblPos val="nextTo"/>
        <c:crossAx val="91407872"/>
        <c:crosses val="autoZero"/>
        <c:auto val="1"/>
        <c:lblAlgn val="ctr"/>
        <c:lblOffset val="100"/>
        <c:noMultiLvlLbl val="0"/>
      </c:catAx>
      <c:valAx>
        <c:axId val="914078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0674304"/>
        <c:crosses val="autoZero"/>
        <c:crossBetween val="between"/>
      </c:valAx>
      <c:serAx>
        <c:axId val="91377664"/>
        <c:scaling>
          <c:orientation val="minMax"/>
        </c:scaling>
        <c:delete val="1"/>
        <c:axPos val="b"/>
        <c:majorTickMark val="out"/>
        <c:minorTickMark val="none"/>
        <c:tickLblPos val="nextTo"/>
        <c:crossAx val="91407872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Administrador</cp:lastModifiedBy>
  <cp:revision>3</cp:revision>
  <cp:lastPrinted>2017-05-23T13:33:00Z</cp:lastPrinted>
  <dcterms:created xsi:type="dcterms:W3CDTF">2017-05-23T13:31:00Z</dcterms:created>
  <dcterms:modified xsi:type="dcterms:W3CDTF">2018-07-13T15:33:00Z</dcterms:modified>
</cp:coreProperties>
</file>