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8C" w:rsidRPr="000F2479" w:rsidRDefault="00F05368" w:rsidP="000F24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8B238C" w:rsidRPr="000F2479">
        <w:rPr>
          <w:rFonts w:ascii="Times New Roman" w:hAnsi="Times New Roman" w:cs="Times New Roman"/>
        </w:rPr>
        <w:t>RUPO D: trabajar un análisis comparativo sobre la estructura de los GAIOCS que fueron descritos en el texto.</w:t>
      </w:r>
    </w:p>
    <w:p w:rsidR="000F2479" w:rsidRDefault="006C111C" w:rsidP="000F2479">
      <w:pPr>
        <w:jc w:val="both"/>
        <w:rPr>
          <w:rFonts w:ascii="Times New Roman" w:hAnsi="Times New Roman" w:cs="Times New Roman"/>
        </w:rPr>
      </w:pPr>
      <w:r w:rsidRPr="000F2479">
        <w:rPr>
          <w:rFonts w:ascii="Times New Roman" w:hAnsi="Times New Roman" w:cs="Times New Roman"/>
        </w:rPr>
        <w:t xml:space="preserve">Estimados compañeros de grupo, </w:t>
      </w:r>
      <w:r w:rsidR="00C10750">
        <w:rPr>
          <w:rFonts w:ascii="Times New Roman" w:hAnsi="Times New Roman" w:cs="Times New Roman"/>
        </w:rPr>
        <w:t xml:space="preserve">permítanme </w:t>
      </w:r>
      <w:r w:rsidR="00AD7CE5">
        <w:rPr>
          <w:rFonts w:ascii="Times New Roman" w:hAnsi="Times New Roman" w:cs="Times New Roman"/>
        </w:rPr>
        <w:t>compartir algunos</w:t>
      </w:r>
      <w:r w:rsidR="00A6723D">
        <w:rPr>
          <w:rFonts w:ascii="Times New Roman" w:hAnsi="Times New Roman" w:cs="Times New Roman"/>
        </w:rPr>
        <w:t xml:space="preserve"> datos al trabajo grupal.</w:t>
      </w:r>
      <w:r w:rsidR="000F2479">
        <w:rPr>
          <w:rFonts w:ascii="Times New Roman" w:hAnsi="Times New Roman" w:cs="Times New Roman"/>
        </w:rPr>
        <w:t xml:space="preserve"> Ojala sea de provecho.</w:t>
      </w:r>
      <w:r w:rsidR="00AD7CE5">
        <w:rPr>
          <w:rFonts w:ascii="Times New Roman" w:hAnsi="Times New Roman" w:cs="Times New Roman"/>
        </w:rPr>
        <w:t xml:space="preserve"> Saludos.</w:t>
      </w:r>
    </w:p>
    <w:p w:rsidR="000F2479" w:rsidRDefault="000F2479" w:rsidP="000F247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B238C" w:rsidRPr="000F2479" w:rsidRDefault="008B238C" w:rsidP="000F2479">
      <w:pPr>
        <w:jc w:val="both"/>
        <w:rPr>
          <w:rFonts w:ascii="Times New Roman" w:hAnsi="Times New Roman" w:cs="Times New Roman"/>
        </w:rPr>
      </w:pPr>
      <w:r w:rsidRPr="000F2479">
        <w:rPr>
          <w:rFonts w:ascii="Times New Roman" w:hAnsi="Times New Roman" w:cs="Times New Roman"/>
        </w:rPr>
        <w:t>– Elegir y justificar las estructuras a analizar.</w:t>
      </w:r>
    </w:p>
    <w:p w:rsidR="009E7898" w:rsidRPr="000F2479" w:rsidRDefault="006C111C" w:rsidP="000F2479">
      <w:pPr>
        <w:jc w:val="both"/>
        <w:rPr>
          <w:rFonts w:ascii="Times New Roman" w:hAnsi="Times New Roman" w:cs="Times New Roman"/>
        </w:rPr>
      </w:pPr>
      <w:r w:rsidRPr="000F2479">
        <w:rPr>
          <w:rFonts w:ascii="Times New Roman" w:hAnsi="Times New Roman" w:cs="Times New Roman"/>
        </w:rPr>
        <w:t xml:space="preserve">De acuerdo y consenso con el grupo… para la nación Uro </w:t>
      </w:r>
      <w:proofErr w:type="spellStart"/>
      <w:r w:rsidRPr="000F2479">
        <w:rPr>
          <w:rFonts w:ascii="Times New Roman" w:hAnsi="Times New Roman" w:cs="Times New Roman"/>
        </w:rPr>
        <w:t>Chipaya</w:t>
      </w:r>
      <w:proofErr w:type="spellEnd"/>
      <w:r w:rsidRPr="000F2479">
        <w:rPr>
          <w:rFonts w:ascii="Times New Roman" w:hAnsi="Times New Roman" w:cs="Times New Roman"/>
        </w:rPr>
        <w:t xml:space="preserve"> la importancia de </w:t>
      </w:r>
      <w:r w:rsidR="00DF24AD" w:rsidRPr="000F2479">
        <w:rPr>
          <w:rFonts w:ascii="Times New Roman" w:hAnsi="Times New Roman" w:cs="Times New Roman"/>
        </w:rPr>
        <w:t xml:space="preserve">su </w:t>
      </w:r>
      <w:r w:rsidRPr="000F2479">
        <w:rPr>
          <w:rFonts w:ascii="Times New Roman" w:hAnsi="Times New Roman" w:cs="Times New Roman"/>
        </w:rPr>
        <w:t xml:space="preserve">autogobierno radica en su </w:t>
      </w:r>
      <w:proofErr w:type="spellStart"/>
      <w:r w:rsidRPr="000F2479">
        <w:rPr>
          <w:rFonts w:ascii="Times New Roman" w:hAnsi="Times New Roman" w:cs="Times New Roman"/>
        </w:rPr>
        <w:t>ancestralidad</w:t>
      </w:r>
      <w:proofErr w:type="spellEnd"/>
      <w:r w:rsidRPr="000F2479">
        <w:rPr>
          <w:rFonts w:ascii="Times New Roman" w:hAnsi="Times New Roman" w:cs="Times New Roman"/>
        </w:rPr>
        <w:t xml:space="preserve"> como nación originaria, que resiste los embates coloniales, conflictos territoriales con sus vecinos </w:t>
      </w:r>
      <w:proofErr w:type="spellStart"/>
      <w:r w:rsidRPr="000F2479">
        <w:rPr>
          <w:rFonts w:ascii="Times New Roman" w:hAnsi="Times New Roman" w:cs="Times New Roman"/>
        </w:rPr>
        <w:t>aymaras</w:t>
      </w:r>
      <w:proofErr w:type="spellEnd"/>
      <w:r w:rsidRPr="000F2479">
        <w:rPr>
          <w:rFonts w:ascii="Times New Roman" w:hAnsi="Times New Roman" w:cs="Times New Roman"/>
        </w:rPr>
        <w:t xml:space="preserve"> (</w:t>
      </w:r>
      <w:proofErr w:type="spellStart"/>
      <w:r w:rsidRPr="000F2479">
        <w:rPr>
          <w:rFonts w:ascii="Times New Roman" w:hAnsi="Times New Roman" w:cs="Times New Roman"/>
        </w:rPr>
        <w:t>Huachacalla</w:t>
      </w:r>
      <w:proofErr w:type="spellEnd"/>
      <w:r w:rsidRPr="000F2479">
        <w:rPr>
          <w:rFonts w:ascii="Times New Roman" w:hAnsi="Times New Roman" w:cs="Times New Roman"/>
        </w:rPr>
        <w:t>) y su desestructuración política en la república y su pérdida de control e intercambio ecológico</w:t>
      </w:r>
      <w:r w:rsidR="00DF24AD" w:rsidRPr="000F2479">
        <w:rPr>
          <w:rFonts w:ascii="Times New Roman" w:hAnsi="Times New Roman" w:cs="Times New Roman"/>
        </w:rPr>
        <w:t xml:space="preserve"> con la costa del pacifico (territorio ampliado).</w:t>
      </w:r>
      <w:r w:rsidR="00336879" w:rsidRPr="000F2479">
        <w:rPr>
          <w:rFonts w:ascii="Times New Roman" w:hAnsi="Times New Roman" w:cs="Times New Roman"/>
        </w:rPr>
        <w:t xml:space="preserve"> Si bien la organización territorial se modifica a partir de los cambios ecológicos y el desecamiento de sus lagos, se produce una ¨revolución agrícola¨ para principios del siglo XX (</w:t>
      </w:r>
      <w:proofErr w:type="spellStart"/>
      <w:r w:rsidR="00336879" w:rsidRPr="000F2479">
        <w:rPr>
          <w:rFonts w:ascii="Times New Roman" w:hAnsi="Times New Roman" w:cs="Times New Roman"/>
        </w:rPr>
        <w:t>Wacthel</w:t>
      </w:r>
      <w:proofErr w:type="spellEnd"/>
      <w:r w:rsidR="00336879" w:rsidRPr="000F2479">
        <w:rPr>
          <w:rFonts w:ascii="Times New Roman" w:hAnsi="Times New Roman" w:cs="Times New Roman"/>
        </w:rPr>
        <w:t xml:space="preserve">, 2001) </w:t>
      </w:r>
      <w:r w:rsidR="00DF24AD" w:rsidRPr="000F2479">
        <w:rPr>
          <w:rFonts w:ascii="Times New Roman" w:hAnsi="Times New Roman" w:cs="Times New Roman"/>
        </w:rPr>
        <w:t xml:space="preserve">en la cual se implementa una nueva </w:t>
      </w:r>
      <w:r w:rsidR="00336879" w:rsidRPr="000F2479">
        <w:rPr>
          <w:rFonts w:ascii="Times New Roman" w:hAnsi="Times New Roman" w:cs="Times New Roman"/>
        </w:rPr>
        <w:t>organiza</w:t>
      </w:r>
      <w:r w:rsidR="00DF24AD" w:rsidRPr="000F2479">
        <w:rPr>
          <w:rFonts w:ascii="Times New Roman" w:hAnsi="Times New Roman" w:cs="Times New Roman"/>
        </w:rPr>
        <w:t xml:space="preserve">ción social y productiva y una organización territorial similar al </w:t>
      </w:r>
      <w:r w:rsidR="00336879" w:rsidRPr="000F2479">
        <w:rPr>
          <w:rFonts w:ascii="Times New Roman" w:hAnsi="Times New Roman" w:cs="Times New Roman"/>
        </w:rPr>
        <w:t xml:space="preserve">de sus vecinos </w:t>
      </w:r>
      <w:proofErr w:type="spellStart"/>
      <w:r w:rsidR="00336879" w:rsidRPr="000F2479">
        <w:rPr>
          <w:rFonts w:ascii="Times New Roman" w:hAnsi="Times New Roman" w:cs="Times New Roman"/>
        </w:rPr>
        <w:t>aymaras</w:t>
      </w:r>
      <w:proofErr w:type="spellEnd"/>
      <w:r w:rsidR="00336879" w:rsidRPr="000F2479">
        <w:rPr>
          <w:rFonts w:ascii="Times New Roman" w:hAnsi="Times New Roman" w:cs="Times New Roman"/>
        </w:rPr>
        <w:t xml:space="preserve">. </w:t>
      </w:r>
      <w:r w:rsidR="00DF24AD" w:rsidRPr="000F2479">
        <w:rPr>
          <w:rFonts w:ascii="Times New Roman" w:hAnsi="Times New Roman" w:cs="Times New Roman"/>
        </w:rPr>
        <w:t>Según el censo del 201</w:t>
      </w:r>
      <w:r w:rsidR="009E7898" w:rsidRPr="000F2479">
        <w:rPr>
          <w:rFonts w:ascii="Times New Roman" w:hAnsi="Times New Roman" w:cs="Times New Roman"/>
        </w:rPr>
        <w:t>2</w:t>
      </w:r>
      <w:r w:rsidR="00AD7CE5">
        <w:rPr>
          <w:rFonts w:ascii="Times New Roman" w:hAnsi="Times New Roman" w:cs="Times New Roman"/>
        </w:rPr>
        <w:t xml:space="preserve"> </w:t>
      </w:r>
      <w:proofErr w:type="spellStart"/>
      <w:r w:rsidR="00AD7CE5">
        <w:rPr>
          <w:rFonts w:ascii="Times New Roman" w:hAnsi="Times New Roman" w:cs="Times New Roman"/>
        </w:rPr>
        <w:t>Chipaya</w:t>
      </w:r>
      <w:proofErr w:type="spellEnd"/>
      <w:r w:rsidR="00AD7CE5">
        <w:rPr>
          <w:rFonts w:ascii="Times New Roman" w:hAnsi="Times New Roman" w:cs="Times New Roman"/>
        </w:rPr>
        <w:t xml:space="preserve"> cuenta con </w:t>
      </w:r>
      <w:r w:rsidR="009E7898" w:rsidRPr="000F2479">
        <w:rPr>
          <w:rFonts w:ascii="Times New Roman" w:hAnsi="Times New Roman" w:cs="Times New Roman"/>
        </w:rPr>
        <w:t xml:space="preserve"> 2.</w:t>
      </w:r>
      <w:r w:rsidR="00DF24AD" w:rsidRPr="000F2479">
        <w:rPr>
          <w:rFonts w:ascii="Times New Roman" w:hAnsi="Times New Roman" w:cs="Times New Roman"/>
        </w:rPr>
        <w:t>00</w:t>
      </w:r>
      <w:r w:rsidR="009E7898" w:rsidRPr="000F2479">
        <w:rPr>
          <w:rFonts w:ascii="Times New Roman" w:hAnsi="Times New Roman" w:cs="Times New Roman"/>
        </w:rPr>
        <w:t>3 habitantes</w:t>
      </w:r>
      <w:r w:rsidR="00DF24AD" w:rsidRPr="000F2479">
        <w:rPr>
          <w:rFonts w:ascii="Times New Roman" w:hAnsi="Times New Roman" w:cs="Times New Roman"/>
        </w:rPr>
        <w:t xml:space="preserve">, un grupo relativamente homogéneo, sus tierras son colectivas y </w:t>
      </w:r>
      <w:r w:rsidR="00A52AB5" w:rsidRPr="000F2479">
        <w:rPr>
          <w:rFonts w:ascii="Times New Roman" w:hAnsi="Times New Roman" w:cs="Times New Roman"/>
        </w:rPr>
        <w:t xml:space="preserve">distribuidas </w:t>
      </w:r>
      <w:r w:rsidR="00AD7CE5">
        <w:rPr>
          <w:rFonts w:ascii="Times New Roman" w:hAnsi="Times New Roman" w:cs="Times New Roman"/>
        </w:rPr>
        <w:t xml:space="preserve">en </w:t>
      </w:r>
      <w:r w:rsidR="00DF24AD" w:rsidRPr="000F2479">
        <w:rPr>
          <w:rFonts w:ascii="Times New Roman" w:hAnsi="Times New Roman" w:cs="Times New Roman"/>
        </w:rPr>
        <w:t xml:space="preserve">cada </w:t>
      </w:r>
      <w:r w:rsidR="00A52AB5" w:rsidRPr="000F2479">
        <w:rPr>
          <w:rFonts w:ascii="Times New Roman" w:hAnsi="Times New Roman" w:cs="Times New Roman"/>
        </w:rPr>
        <w:t>siembra</w:t>
      </w:r>
      <w:r w:rsidR="00DF24AD" w:rsidRPr="000F2479">
        <w:rPr>
          <w:rFonts w:ascii="Times New Roman" w:hAnsi="Times New Roman" w:cs="Times New Roman"/>
        </w:rPr>
        <w:t xml:space="preserve"> de forma equitativa. </w:t>
      </w:r>
      <w:r w:rsidR="00A52AB5" w:rsidRPr="000F2479">
        <w:rPr>
          <w:rFonts w:ascii="Times New Roman" w:hAnsi="Times New Roman" w:cs="Times New Roman"/>
        </w:rPr>
        <w:t xml:space="preserve">El territorio </w:t>
      </w:r>
      <w:proofErr w:type="spellStart"/>
      <w:r w:rsidR="00A52AB5" w:rsidRPr="000F2479">
        <w:rPr>
          <w:rFonts w:ascii="Times New Roman" w:hAnsi="Times New Roman" w:cs="Times New Roman"/>
        </w:rPr>
        <w:t>Chipaya</w:t>
      </w:r>
      <w:proofErr w:type="spellEnd"/>
      <w:r w:rsidR="00A52AB5" w:rsidRPr="000F2479">
        <w:rPr>
          <w:rFonts w:ascii="Times New Roman" w:hAnsi="Times New Roman" w:cs="Times New Roman"/>
          <w:spacing w:val="1"/>
          <w:sz w:val="24"/>
          <w:szCs w:val="24"/>
        </w:rPr>
        <w:t xml:space="preserve"> tiene </w:t>
      </w:r>
      <w:r w:rsidR="009E7898" w:rsidRPr="000F2479">
        <w:rPr>
          <w:rFonts w:ascii="Times New Roman" w:hAnsi="Times New Roman" w:cs="Times New Roman"/>
          <w:sz w:val="24"/>
          <w:szCs w:val="24"/>
        </w:rPr>
        <w:t>una ex</w:t>
      </w:r>
      <w:r w:rsidR="009E7898" w:rsidRPr="000F247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9E7898" w:rsidRPr="000F2479">
        <w:rPr>
          <w:rFonts w:ascii="Times New Roman" w:hAnsi="Times New Roman" w:cs="Times New Roman"/>
          <w:sz w:val="24"/>
          <w:szCs w:val="24"/>
        </w:rPr>
        <w:t>ensión de</w:t>
      </w:r>
      <w:r w:rsidR="009E7898" w:rsidRPr="000F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2AB5" w:rsidRPr="000F2479">
        <w:rPr>
          <w:rFonts w:ascii="Times New Roman" w:hAnsi="Times New Roman" w:cs="Times New Roman"/>
          <w:sz w:val="24"/>
          <w:szCs w:val="24"/>
        </w:rPr>
        <w:t>480.348 km.</w:t>
      </w:r>
    </w:p>
    <w:p w:rsidR="006C111C" w:rsidRPr="000F2479" w:rsidRDefault="00A52AB5" w:rsidP="000F247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F2479">
        <w:rPr>
          <w:rFonts w:ascii="Times New Roman" w:hAnsi="Times New Roman" w:cs="Times New Roman"/>
        </w:rPr>
        <w:t>Esto en contraste</w:t>
      </w:r>
      <w:r w:rsidR="00DF24AD" w:rsidRPr="000F2479">
        <w:rPr>
          <w:rFonts w:ascii="Times New Roman" w:hAnsi="Times New Roman" w:cs="Times New Roman"/>
        </w:rPr>
        <w:t xml:space="preserve"> a </w:t>
      </w:r>
      <w:proofErr w:type="spellStart"/>
      <w:r w:rsidR="00DF24AD" w:rsidRPr="000F2479">
        <w:rPr>
          <w:rFonts w:ascii="Times New Roman" w:hAnsi="Times New Roman" w:cs="Times New Roman"/>
        </w:rPr>
        <w:t>Charagua</w:t>
      </w:r>
      <w:proofErr w:type="spellEnd"/>
      <w:r w:rsidR="00DF24AD" w:rsidRPr="000F2479">
        <w:rPr>
          <w:rFonts w:ascii="Times New Roman" w:hAnsi="Times New Roman" w:cs="Times New Roman"/>
        </w:rPr>
        <w:t xml:space="preserve">  que presenta un grupo </w:t>
      </w:r>
      <w:r w:rsidRPr="000F2479">
        <w:rPr>
          <w:rFonts w:ascii="Times New Roman" w:hAnsi="Times New Roman" w:cs="Times New Roman"/>
        </w:rPr>
        <w:t xml:space="preserve">heterogéneo, pero con una predominancia de un </w:t>
      </w:r>
      <w:r w:rsidR="00DF24AD" w:rsidRPr="000F2479">
        <w:rPr>
          <w:rFonts w:ascii="Times New Roman" w:hAnsi="Times New Roman" w:cs="Times New Roman"/>
        </w:rPr>
        <w:t>60% de guaraní</w:t>
      </w:r>
      <w:r w:rsidRPr="000F2479">
        <w:rPr>
          <w:rFonts w:ascii="Times New Roman" w:hAnsi="Times New Roman" w:cs="Times New Roman"/>
        </w:rPr>
        <w:t xml:space="preserve">s, según el censo 2012 la AIOCS cuenta con </w:t>
      </w:r>
      <w:r w:rsidR="00DF24AD" w:rsidRPr="000F2479">
        <w:rPr>
          <w:rFonts w:ascii="Times New Roman" w:hAnsi="Times New Roman" w:cs="Times New Roman"/>
        </w:rPr>
        <w:t>30.431 habitantes</w:t>
      </w:r>
      <w:r w:rsidR="009E7898" w:rsidRPr="000F2479">
        <w:rPr>
          <w:rFonts w:ascii="Times New Roman" w:hAnsi="Times New Roman" w:cs="Times New Roman"/>
        </w:rPr>
        <w:t xml:space="preserve">. </w:t>
      </w:r>
      <w:r w:rsidRPr="000F2479">
        <w:rPr>
          <w:rFonts w:ascii="Times New Roman" w:hAnsi="Times New Roman" w:cs="Times New Roman"/>
        </w:rPr>
        <w:t xml:space="preserve">En la cual </w:t>
      </w:r>
      <w:r w:rsidR="009E7898" w:rsidRPr="000F2479">
        <w:rPr>
          <w:rFonts w:ascii="Times New Roman" w:hAnsi="Times New Roman" w:cs="Times New Roman"/>
        </w:rPr>
        <w:t xml:space="preserve">el 90% vive en el área rural y el 10% en el </w:t>
      </w:r>
      <w:r w:rsidRPr="000F2479">
        <w:rPr>
          <w:rFonts w:ascii="Times New Roman" w:hAnsi="Times New Roman" w:cs="Times New Roman"/>
        </w:rPr>
        <w:t>área</w:t>
      </w:r>
      <w:r w:rsidR="009E7898" w:rsidRPr="000F2479">
        <w:rPr>
          <w:rFonts w:ascii="Times New Roman" w:hAnsi="Times New Roman" w:cs="Times New Roman"/>
        </w:rPr>
        <w:t xml:space="preserve"> urbana.</w:t>
      </w:r>
      <w:r w:rsidR="009E7898" w:rsidRPr="000F2479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="009E7898"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</w:t>
      </w:r>
      <w:r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 AIOCS es el </w:t>
      </w:r>
      <w:r w:rsidR="009E7898"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más grande de Bolivia </w:t>
      </w:r>
      <w:r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 una superficie de 71.745 km.</w:t>
      </w:r>
      <w:r w:rsidR="009E7898"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="009E7898"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 superficie abarca aproximadamente el 23% del departamento de Santa Cruz</w:t>
      </w:r>
      <w:r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="009E7898"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 un 6,53% del territorio boliviano</w:t>
      </w:r>
      <w:r w:rsidRPr="000F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Datos a tomar en cuenta.</w:t>
      </w:r>
    </w:p>
    <w:p w:rsidR="00A52AB5" w:rsidRPr="000F2479" w:rsidRDefault="00A52AB5" w:rsidP="000F247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B238C" w:rsidRPr="000F2479" w:rsidRDefault="008B238C" w:rsidP="000F2479">
      <w:pPr>
        <w:jc w:val="both"/>
        <w:rPr>
          <w:rFonts w:ascii="Times New Roman" w:hAnsi="Times New Roman" w:cs="Times New Roman"/>
        </w:rPr>
      </w:pPr>
      <w:r w:rsidRPr="000F2479">
        <w:rPr>
          <w:rFonts w:ascii="Times New Roman" w:hAnsi="Times New Roman" w:cs="Times New Roman"/>
        </w:rPr>
        <w:t>– Describir las dificultades y limitaciones de las estructuras de las GAIOCS.</w:t>
      </w:r>
    </w:p>
    <w:p w:rsidR="00A52AB5" w:rsidRPr="000F2479" w:rsidRDefault="00A52AB5" w:rsidP="000F24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479">
        <w:rPr>
          <w:rFonts w:ascii="Times New Roman" w:hAnsi="Times New Roman" w:cs="Times New Roman"/>
        </w:rPr>
        <w:t xml:space="preserve">Si bien existen grandes diferencias poblacional y territorial, los problemas que afrontan estos nuevos </w:t>
      </w:r>
      <w:r w:rsidR="00816497" w:rsidRPr="000F2479">
        <w:rPr>
          <w:rFonts w:ascii="Times New Roman" w:hAnsi="Times New Roman" w:cs="Times New Roman"/>
        </w:rPr>
        <w:t xml:space="preserve">GAIOCS, tienen un común denominador  la burocracia estatal y aun la mirada </w:t>
      </w:r>
      <w:proofErr w:type="spellStart"/>
      <w:r w:rsidR="00816497" w:rsidRPr="000F2479">
        <w:rPr>
          <w:rFonts w:ascii="Times New Roman" w:hAnsi="Times New Roman" w:cs="Times New Roman"/>
        </w:rPr>
        <w:t>municipalista</w:t>
      </w:r>
      <w:proofErr w:type="spellEnd"/>
      <w:r w:rsidR="00816497" w:rsidRPr="000F2479">
        <w:rPr>
          <w:rFonts w:ascii="Times New Roman" w:hAnsi="Times New Roman" w:cs="Times New Roman"/>
        </w:rPr>
        <w:t xml:space="preserve"> para otros. El caso de </w:t>
      </w:r>
      <w:proofErr w:type="spellStart"/>
      <w:r w:rsidR="00816497" w:rsidRPr="000F2479">
        <w:rPr>
          <w:rFonts w:ascii="Times New Roman" w:hAnsi="Times New Roman" w:cs="Times New Roman"/>
        </w:rPr>
        <w:t>Chipaya</w:t>
      </w:r>
      <w:proofErr w:type="spellEnd"/>
      <w:r w:rsidR="00816497" w:rsidRPr="000F2479">
        <w:rPr>
          <w:rFonts w:ascii="Times New Roman" w:hAnsi="Times New Roman" w:cs="Times New Roman"/>
        </w:rPr>
        <w:t xml:space="preserve"> es complejo y delicado, a principios de año sufrió inundaciones por desbordes del rio Lauca, afectando a su </w:t>
      </w:r>
      <w:r w:rsidR="00822900" w:rsidRPr="000F2479">
        <w:rPr>
          <w:rFonts w:ascii="Times New Roman" w:hAnsi="Times New Roman" w:cs="Times New Roman"/>
        </w:rPr>
        <w:t>producción es</w:t>
      </w:r>
      <w:r w:rsidR="009E1171">
        <w:rPr>
          <w:rFonts w:ascii="Times New Roman" w:hAnsi="Times New Roman" w:cs="Times New Roman"/>
        </w:rPr>
        <w:t>casa de quinua y ganado. A</w:t>
      </w:r>
      <w:r w:rsidR="00561A49" w:rsidRPr="000F2479">
        <w:rPr>
          <w:rFonts w:ascii="Times New Roman" w:hAnsi="Times New Roman" w:cs="Times New Roman"/>
        </w:rPr>
        <w:t>simismo</w:t>
      </w:r>
      <w:r w:rsidR="00816497" w:rsidRPr="000F2479">
        <w:rPr>
          <w:rFonts w:ascii="Times New Roman" w:hAnsi="Times New Roman" w:cs="Times New Roman"/>
        </w:rPr>
        <w:t xml:space="preserve"> las cuentas del nuevo gobierno están congeladas debido a l </w:t>
      </w:r>
      <w:r w:rsidR="00822900" w:rsidRPr="000F2479">
        <w:rPr>
          <w:rFonts w:ascii="Times New Roman" w:hAnsi="Times New Roman" w:cs="Times New Roman"/>
        </w:rPr>
        <w:t>transición</w:t>
      </w:r>
      <w:r w:rsidR="00816497" w:rsidRPr="000F2479">
        <w:rPr>
          <w:rFonts w:ascii="Times New Roman" w:hAnsi="Times New Roman" w:cs="Times New Roman"/>
        </w:rPr>
        <w:t xml:space="preserve"> de esta estructura, afectando </w:t>
      </w:r>
      <w:r w:rsidR="00822900" w:rsidRPr="000F2479">
        <w:rPr>
          <w:rFonts w:ascii="Times New Roman" w:hAnsi="Times New Roman" w:cs="Times New Roman"/>
        </w:rPr>
        <w:t>principalmente a la provisión</w:t>
      </w:r>
      <w:r w:rsidR="00816497" w:rsidRPr="000F2479">
        <w:rPr>
          <w:rFonts w:ascii="Times New Roman" w:hAnsi="Times New Roman" w:cs="Times New Roman"/>
        </w:rPr>
        <w:t xml:space="preserve"> del desayuno escolar y </w:t>
      </w:r>
      <w:proofErr w:type="gramStart"/>
      <w:r w:rsidR="00816497" w:rsidRPr="000F2479">
        <w:rPr>
          <w:rFonts w:ascii="Times New Roman" w:hAnsi="Times New Roman" w:cs="Times New Roman"/>
        </w:rPr>
        <w:t>la escases</w:t>
      </w:r>
      <w:proofErr w:type="gramEnd"/>
      <w:r w:rsidR="00816497" w:rsidRPr="000F2479">
        <w:rPr>
          <w:rFonts w:ascii="Times New Roman" w:hAnsi="Times New Roman" w:cs="Times New Roman"/>
        </w:rPr>
        <w:t xml:space="preserve"> de medicamentos en el centro de Salud del pueblo. </w:t>
      </w:r>
      <w:r w:rsidR="00816497" w:rsidRPr="000F2479">
        <w:rPr>
          <w:rFonts w:ascii="Times New Roman" w:hAnsi="Times New Roman" w:cs="Times New Roman"/>
          <w:sz w:val="24"/>
          <w:szCs w:val="24"/>
        </w:rPr>
        <w:t>(La Razón</w:t>
      </w:r>
      <w:r w:rsidR="00816497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, 09 de mayo del 2018).</w:t>
      </w:r>
    </w:p>
    <w:p w:rsidR="009E1171" w:rsidRDefault="00561A49" w:rsidP="000F24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el caso de </w:t>
      </w:r>
      <w:proofErr w:type="spellStart"/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Charagua</w:t>
      </w:r>
      <w:proofErr w:type="spellEnd"/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similar caso llevo a funcionarios a un paro y protestas por la falta de pagos para principios del 2017 y esto al igual que </w:t>
      </w:r>
      <w:proofErr w:type="spellStart"/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Chipaya</w:t>
      </w:r>
      <w:proofErr w:type="spellEnd"/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causa de </w:t>
      </w: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transición</w:t>
      </w: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burocracia</w:t>
      </w: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sistema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administrativo</w:t>
      </w: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estatal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aligero el desembolso de </w:t>
      </w:r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>recursos</w:t>
      </w: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. Pero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así</w:t>
      </w:r>
      <w:r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también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manifiesta 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Rubén Ortiz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representante </w:t>
      </w:r>
      <w:r w:rsidR="009E1171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indígena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hasta octubre del 2017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existían 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disputas y dos visones distintas de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autonomía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el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área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rural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urbana</w:t>
      </w:r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>Charagua</w:t>
      </w:r>
      <w:proofErr w:type="spellEnd"/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manifiesta que su techo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presupuestal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ascendió a 31 millones de bolivianos que sin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embargo 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mismo </w:t>
      </w:r>
      <w:r w:rsidR="009E1171">
        <w:rPr>
          <w:rFonts w:ascii="Times New Roman" w:eastAsia="Times New Roman" w:hAnsi="Times New Roman" w:cs="Times New Roman"/>
          <w:sz w:val="24"/>
          <w:szCs w:val="24"/>
          <w:lang w:eastAsia="es-ES"/>
        </w:rPr>
        <w:t>el 25% estuvo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destinado al tema de los salarios y gastos de 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funcionamiento. (El Deber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9 de Octubre de 2017)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bien este dato es del pasado año, el gasto de funcionamiento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administrativo es 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similar a los 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demás</w:t>
      </w:r>
      <w:r w:rsidR="0060318D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municipios del país</w:t>
      </w:r>
      <w:r w:rsidR="000F2479" w:rsidRPr="000F2479">
        <w:rPr>
          <w:rFonts w:ascii="Times New Roman" w:eastAsia="Times New Roman" w:hAnsi="Times New Roman" w:cs="Times New Roman"/>
          <w:sz w:val="24"/>
          <w:szCs w:val="24"/>
          <w:lang w:eastAsia="es-ES"/>
        </w:rPr>
        <w:t>, desconociendo las propuestas de gestión territorial y economía comunitaria como señalan sus estatutos, y por ende no permite avanzar en su desarrollo en base a una visión con perspectiva de autogobierno indígena.</w:t>
      </w:r>
    </w:p>
    <w:p w:rsidR="009E1171" w:rsidRPr="000F2479" w:rsidRDefault="009E1171" w:rsidP="000F24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Estos ejemplos son lecciones importantes que se deben sociabilizar con las nuevas GAIOCS y como la mayoría coincide la burocracia y jurisprudencia estatal no acompañan en este nuevo camino a los nuevos gobiernos indígenas.</w:t>
      </w:r>
    </w:p>
    <w:p w:rsidR="0060318D" w:rsidRPr="000F2479" w:rsidRDefault="0060318D" w:rsidP="000F24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B238C" w:rsidRPr="000F2479" w:rsidRDefault="008B238C" w:rsidP="000F2479">
      <w:pPr>
        <w:jc w:val="both"/>
        <w:rPr>
          <w:rFonts w:ascii="Times New Roman" w:hAnsi="Times New Roman" w:cs="Times New Roman"/>
        </w:rPr>
      </w:pPr>
    </w:p>
    <w:sectPr w:rsidR="008B238C" w:rsidRPr="000F2479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8C"/>
    <w:rsid w:val="000F2479"/>
    <w:rsid w:val="00336879"/>
    <w:rsid w:val="004D2370"/>
    <w:rsid w:val="00561A49"/>
    <w:rsid w:val="0060318D"/>
    <w:rsid w:val="006A0D61"/>
    <w:rsid w:val="006C111C"/>
    <w:rsid w:val="00816497"/>
    <w:rsid w:val="00822900"/>
    <w:rsid w:val="008B238C"/>
    <w:rsid w:val="009D1A34"/>
    <w:rsid w:val="009E1171"/>
    <w:rsid w:val="009E7898"/>
    <w:rsid w:val="00A52AB5"/>
    <w:rsid w:val="00A6723D"/>
    <w:rsid w:val="00AD7CE5"/>
    <w:rsid w:val="00C10750"/>
    <w:rsid w:val="00DF24AD"/>
    <w:rsid w:val="00E80024"/>
    <w:rsid w:val="00E97BA2"/>
    <w:rsid w:val="00F05368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78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7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2018-07-18T20:23:00Z</dcterms:created>
  <dcterms:modified xsi:type="dcterms:W3CDTF">2018-07-18T20:38:00Z</dcterms:modified>
</cp:coreProperties>
</file>