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018" w:rsidRDefault="00ED5018" w:rsidP="00055B97">
      <w:pPr>
        <w:jc w:val="center"/>
        <w:rPr>
          <w:rFonts w:ascii="Arial" w:hAnsi="Arial" w:cs="Arial"/>
          <w:b/>
          <w:u w:val="single"/>
          <w:lang w:val="es-BO"/>
        </w:rPr>
      </w:pPr>
      <w:r w:rsidRPr="00055B97">
        <w:rPr>
          <w:rFonts w:ascii="Arial" w:hAnsi="Arial" w:cs="Arial"/>
          <w:b/>
          <w:u w:val="single"/>
          <w:lang w:val="es-BO"/>
        </w:rPr>
        <w:t xml:space="preserve">Trabajo Grupal de Unidad 4: comparación de la AIOC </w:t>
      </w:r>
      <w:proofErr w:type="spellStart"/>
      <w:r w:rsidRPr="00055B97">
        <w:rPr>
          <w:rFonts w:ascii="Arial" w:hAnsi="Arial" w:cs="Arial"/>
          <w:b/>
          <w:u w:val="single"/>
          <w:lang w:val="es-BO"/>
        </w:rPr>
        <w:t>Charagua</w:t>
      </w:r>
      <w:proofErr w:type="spellEnd"/>
      <w:r w:rsidRPr="00055B97">
        <w:rPr>
          <w:rFonts w:ascii="Arial" w:hAnsi="Arial" w:cs="Arial"/>
          <w:b/>
          <w:u w:val="single"/>
          <w:lang w:val="es-BO"/>
        </w:rPr>
        <w:t xml:space="preserve"> </w:t>
      </w:r>
      <w:proofErr w:type="spellStart"/>
      <w:r w:rsidRPr="00055B97">
        <w:rPr>
          <w:rFonts w:ascii="Arial" w:hAnsi="Arial" w:cs="Arial"/>
          <w:b/>
          <w:u w:val="single"/>
          <w:lang w:val="es-BO"/>
        </w:rPr>
        <w:t>Iyambae</w:t>
      </w:r>
      <w:proofErr w:type="spellEnd"/>
      <w:r w:rsidRPr="00055B97">
        <w:rPr>
          <w:rFonts w:ascii="Arial" w:hAnsi="Arial" w:cs="Arial"/>
          <w:b/>
          <w:u w:val="single"/>
          <w:lang w:val="es-BO"/>
        </w:rPr>
        <w:t xml:space="preserve"> y la AIOC </w:t>
      </w:r>
      <w:proofErr w:type="spellStart"/>
      <w:r w:rsidRPr="00055B97">
        <w:rPr>
          <w:rFonts w:ascii="Arial" w:hAnsi="Arial" w:cs="Arial"/>
          <w:b/>
          <w:u w:val="single"/>
          <w:lang w:val="es-BO"/>
        </w:rPr>
        <w:t>Uru</w:t>
      </w:r>
      <w:proofErr w:type="spellEnd"/>
      <w:r w:rsidRPr="00055B97">
        <w:rPr>
          <w:rFonts w:ascii="Arial" w:hAnsi="Arial" w:cs="Arial"/>
          <w:b/>
          <w:u w:val="single"/>
          <w:lang w:val="es-BO"/>
        </w:rPr>
        <w:t xml:space="preserve"> </w:t>
      </w:r>
      <w:proofErr w:type="spellStart"/>
      <w:r w:rsidRPr="00055B97">
        <w:rPr>
          <w:rFonts w:ascii="Arial" w:hAnsi="Arial" w:cs="Arial"/>
          <w:b/>
          <w:u w:val="single"/>
          <w:lang w:val="es-BO"/>
        </w:rPr>
        <w:t>Chipaya</w:t>
      </w:r>
      <w:proofErr w:type="spellEnd"/>
    </w:p>
    <w:p w:rsidR="002703CB" w:rsidRDefault="002703CB" w:rsidP="002703CB">
      <w:pPr>
        <w:rPr>
          <w:rFonts w:ascii="Arial" w:hAnsi="Arial" w:cs="Arial"/>
          <w:b/>
          <w:u w:val="single"/>
          <w:lang w:val="es-BO"/>
        </w:rPr>
      </w:pPr>
      <w:r>
        <w:rPr>
          <w:rFonts w:ascii="Arial" w:hAnsi="Arial" w:cs="Arial"/>
          <w:b/>
          <w:u w:val="single"/>
          <w:lang w:val="es-BO"/>
        </w:rPr>
        <w:t>Nombres:</w:t>
      </w:r>
    </w:p>
    <w:p w:rsidR="002703CB" w:rsidRPr="002703CB" w:rsidRDefault="002703CB" w:rsidP="002703CB">
      <w:pPr>
        <w:rPr>
          <w:rFonts w:ascii="Arial" w:hAnsi="Arial" w:cs="Arial"/>
          <w:b/>
          <w:u w:val="single"/>
          <w:lang w:val="es-BO"/>
        </w:rPr>
      </w:pPr>
      <w:proofErr w:type="spellStart"/>
      <w:r w:rsidRPr="002703CB">
        <w:rPr>
          <w:rFonts w:ascii="Arial" w:eastAsia="Times New Roman" w:hAnsi="Arial" w:cs="Arial"/>
          <w:color w:val="222222"/>
          <w:sz w:val="21"/>
          <w:szCs w:val="21"/>
          <w:lang w:val="es-BO"/>
        </w:rPr>
        <w:t>Grover</w:t>
      </w:r>
      <w:proofErr w:type="spellEnd"/>
      <w:r w:rsidRPr="002703CB">
        <w:rPr>
          <w:rFonts w:ascii="Arial" w:eastAsia="Times New Roman" w:hAnsi="Arial" w:cs="Arial"/>
          <w:color w:val="222222"/>
          <w:sz w:val="21"/>
          <w:szCs w:val="21"/>
          <w:lang w:val="es-BO"/>
        </w:rPr>
        <w:t xml:space="preserve"> Alejandro </w:t>
      </w:r>
      <w:proofErr w:type="spellStart"/>
      <w:r w:rsidRPr="002703CB">
        <w:rPr>
          <w:rFonts w:ascii="Arial" w:eastAsia="Times New Roman" w:hAnsi="Arial" w:cs="Arial"/>
          <w:color w:val="222222"/>
          <w:sz w:val="21"/>
          <w:szCs w:val="21"/>
          <w:lang w:val="es-BO"/>
        </w:rPr>
        <w:t>Pillco</w:t>
      </w:r>
      <w:proofErr w:type="spellEnd"/>
      <w:r>
        <w:rPr>
          <w:rFonts w:ascii="Arial" w:hAnsi="Arial" w:cs="Arial"/>
          <w:b/>
          <w:u w:val="single"/>
          <w:lang w:val="es-BO"/>
        </w:rPr>
        <w:br/>
      </w:r>
      <w:r w:rsidRPr="002703CB">
        <w:rPr>
          <w:rFonts w:ascii="Arial" w:eastAsia="Times New Roman" w:hAnsi="Arial" w:cs="Arial"/>
          <w:color w:val="222222"/>
          <w:sz w:val="21"/>
          <w:szCs w:val="21"/>
          <w:lang w:val="es-BO"/>
        </w:rPr>
        <w:t xml:space="preserve">Roberto Nery Choque </w:t>
      </w:r>
      <w:proofErr w:type="spellStart"/>
      <w:r w:rsidRPr="002703CB">
        <w:rPr>
          <w:rFonts w:ascii="Arial" w:eastAsia="Times New Roman" w:hAnsi="Arial" w:cs="Arial"/>
          <w:color w:val="222222"/>
          <w:sz w:val="21"/>
          <w:szCs w:val="21"/>
          <w:lang w:val="es-BO"/>
        </w:rPr>
        <w:t>Choque</w:t>
      </w:r>
      <w:proofErr w:type="spellEnd"/>
      <w:r>
        <w:rPr>
          <w:rFonts w:ascii="Arial" w:hAnsi="Arial" w:cs="Arial"/>
          <w:b/>
          <w:u w:val="single"/>
          <w:lang w:val="es-BO"/>
        </w:rPr>
        <w:br/>
      </w:r>
      <w:r w:rsidRPr="002703CB">
        <w:rPr>
          <w:rFonts w:ascii="Arial" w:eastAsia="Times New Roman" w:hAnsi="Arial" w:cs="Arial"/>
          <w:color w:val="222222"/>
          <w:sz w:val="21"/>
          <w:szCs w:val="21"/>
          <w:lang w:val="es-BO"/>
        </w:rPr>
        <w:t xml:space="preserve">Lucila Julia Choque </w:t>
      </w:r>
      <w:proofErr w:type="spellStart"/>
      <w:r w:rsidRPr="002703CB">
        <w:rPr>
          <w:rFonts w:ascii="Arial" w:eastAsia="Times New Roman" w:hAnsi="Arial" w:cs="Arial"/>
          <w:color w:val="222222"/>
          <w:sz w:val="21"/>
          <w:szCs w:val="21"/>
          <w:lang w:val="es-BO"/>
        </w:rPr>
        <w:t>Huarin</w:t>
      </w:r>
      <w:proofErr w:type="spellEnd"/>
      <w:r>
        <w:rPr>
          <w:rFonts w:ascii="Arial" w:hAnsi="Arial" w:cs="Arial"/>
          <w:b/>
          <w:u w:val="single"/>
          <w:lang w:val="es-BO"/>
        </w:rPr>
        <w:br/>
      </w:r>
      <w:r w:rsidRPr="002703CB">
        <w:rPr>
          <w:rFonts w:ascii="Arial" w:eastAsia="Times New Roman" w:hAnsi="Arial" w:cs="Arial"/>
          <w:color w:val="222222"/>
          <w:sz w:val="21"/>
          <w:szCs w:val="21"/>
          <w:lang w:val="es-BO"/>
        </w:rPr>
        <w:t>Marcelo Cuellar Rivero</w:t>
      </w:r>
      <w:r>
        <w:rPr>
          <w:rFonts w:ascii="Arial" w:hAnsi="Arial" w:cs="Arial"/>
          <w:b/>
          <w:u w:val="single"/>
          <w:lang w:val="es-BO"/>
        </w:rPr>
        <w:br/>
      </w:r>
      <w:r w:rsidRPr="002703CB">
        <w:rPr>
          <w:rFonts w:ascii="Arial" w:eastAsia="Times New Roman" w:hAnsi="Arial" w:cs="Arial"/>
          <w:color w:val="222222"/>
          <w:sz w:val="21"/>
          <w:szCs w:val="21"/>
          <w:lang w:val="es-BO"/>
        </w:rPr>
        <w:t>Fanny Evangelista Clemente</w:t>
      </w:r>
      <w:r>
        <w:rPr>
          <w:rFonts w:ascii="Arial" w:hAnsi="Arial" w:cs="Arial"/>
          <w:b/>
          <w:u w:val="single"/>
          <w:lang w:val="es-BO"/>
        </w:rPr>
        <w:br/>
      </w:r>
      <w:r w:rsidRPr="002703CB">
        <w:rPr>
          <w:rFonts w:ascii="Arial" w:eastAsia="Times New Roman" w:hAnsi="Arial" w:cs="Arial"/>
          <w:color w:val="222222"/>
          <w:sz w:val="21"/>
          <w:szCs w:val="21"/>
          <w:lang w:val="es-BO"/>
        </w:rPr>
        <w:t>Diana Cristina Massa Manzanillas</w:t>
      </w:r>
      <w:r>
        <w:rPr>
          <w:rFonts w:ascii="Arial" w:hAnsi="Arial" w:cs="Arial"/>
          <w:b/>
          <w:u w:val="single"/>
          <w:lang w:val="es-BO"/>
        </w:rPr>
        <w:br/>
      </w:r>
      <w:proofErr w:type="spellStart"/>
      <w:r w:rsidRPr="002703CB">
        <w:rPr>
          <w:rFonts w:ascii="Arial" w:eastAsia="Times New Roman" w:hAnsi="Arial" w:cs="Arial"/>
          <w:color w:val="222222"/>
          <w:sz w:val="21"/>
          <w:szCs w:val="21"/>
          <w:lang w:val="es-BO"/>
        </w:rPr>
        <w:t>Norka</w:t>
      </w:r>
      <w:proofErr w:type="spellEnd"/>
      <w:r w:rsidRPr="002703CB">
        <w:rPr>
          <w:rFonts w:ascii="Arial" w:eastAsia="Times New Roman" w:hAnsi="Arial" w:cs="Arial"/>
          <w:color w:val="222222"/>
          <w:sz w:val="21"/>
          <w:szCs w:val="21"/>
          <w:lang w:val="es-BO"/>
        </w:rPr>
        <w:t xml:space="preserve"> Paz Rodo</w:t>
      </w:r>
      <w:r>
        <w:rPr>
          <w:rFonts w:ascii="Arial" w:hAnsi="Arial" w:cs="Arial"/>
          <w:b/>
          <w:u w:val="single"/>
          <w:lang w:val="es-BO"/>
        </w:rPr>
        <w:br/>
      </w:r>
      <w:r w:rsidRPr="002703CB">
        <w:rPr>
          <w:rFonts w:ascii="Arial" w:eastAsia="Times New Roman" w:hAnsi="Arial" w:cs="Arial"/>
          <w:color w:val="222222"/>
          <w:sz w:val="21"/>
          <w:szCs w:val="21"/>
          <w:lang w:val="es-BO"/>
        </w:rPr>
        <w:t xml:space="preserve">Jorge Portugal </w:t>
      </w:r>
      <w:proofErr w:type="spellStart"/>
      <w:r w:rsidRPr="002703CB">
        <w:rPr>
          <w:rFonts w:ascii="Arial" w:eastAsia="Times New Roman" w:hAnsi="Arial" w:cs="Arial"/>
          <w:color w:val="222222"/>
          <w:sz w:val="21"/>
          <w:szCs w:val="21"/>
          <w:lang w:val="es-BO"/>
        </w:rPr>
        <w:t>Vedia</w:t>
      </w:r>
      <w:proofErr w:type="spellEnd"/>
      <w:r>
        <w:rPr>
          <w:rFonts w:ascii="Arial" w:hAnsi="Arial" w:cs="Arial"/>
          <w:b/>
          <w:u w:val="single"/>
          <w:lang w:val="es-BO"/>
        </w:rPr>
        <w:br/>
      </w:r>
      <w:r w:rsidRPr="002703CB">
        <w:rPr>
          <w:rFonts w:ascii="Arial" w:eastAsia="Times New Roman" w:hAnsi="Arial" w:cs="Arial"/>
          <w:color w:val="222222"/>
          <w:sz w:val="21"/>
          <w:szCs w:val="21"/>
          <w:lang w:val="es-BO"/>
        </w:rPr>
        <w:t>Matilde Rada Carvajal</w:t>
      </w:r>
      <w:r>
        <w:rPr>
          <w:rFonts w:ascii="Arial" w:hAnsi="Arial" w:cs="Arial"/>
          <w:b/>
          <w:u w:val="single"/>
          <w:lang w:val="es-BO"/>
        </w:rPr>
        <w:br/>
      </w:r>
      <w:bookmarkStart w:id="0" w:name="_GoBack"/>
      <w:bookmarkEnd w:id="0"/>
      <w:r w:rsidRPr="002703CB">
        <w:rPr>
          <w:rFonts w:ascii="Arial" w:eastAsia="Times New Roman" w:hAnsi="Arial" w:cs="Arial"/>
          <w:color w:val="222222"/>
          <w:sz w:val="21"/>
          <w:szCs w:val="21"/>
          <w:lang w:val="es-BO"/>
        </w:rPr>
        <w:t xml:space="preserve">Alex Vladimir </w:t>
      </w:r>
      <w:proofErr w:type="spellStart"/>
      <w:r w:rsidRPr="002703CB">
        <w:rPr>
          <w:rFonts w:ascii="Arial" w:eastAsia="Times New Roman" w:hAnsi="Arial" w:cs="Arial"/>
          <w:color w:val="222222"/>
          <w:sz w:val="21"/>
          <w:szCs w:val="21"/>
          <w:lang w:val="es-BO"/>
        </w:rPr>
        <w:t>Silvetty</w:t>
      </w:r>
      <w:proofErr w:type="spellEnd"/>
      <w:r w:rsidRPr="002703CB">
        <w:rPr>
          <w:rFonts w:ascii="Arial" w:eastAsia="Times New Roman" w:hAnsi="Arial" w:cs="Arial"/>
          <w:color w:val="222222"/>
          <w:sz w:val="21"/>
          <w:szCs w:val="21"/>
          <w:lang w:val="es-BO"/>
        </w:rPr>
        <w:t xml:space="preserve"> Mamani</w:t>
      </w:r>
    </w:p>
    <w:p w:rsidR="002703CB" w:rsidRPr="00055B97" w:rsidRDefault="002703CB" w:rsidP="002703CB">
      <w:pPr>
        <w:rPr>
          <w:rFonts w:ascii="Arial" w:hAnsi="Arial" w:cs="Arial"/>
          <w:b/>
          <w:u w:val="single"/>
          <w:lang w:val="es-BO"/>
        </w:rPr>
      </w:pPr>
    </w:p>
    <w:p w:rsidR="00ED5018" w:rsidRPr="00055B97" w:rsidRDefault="00ED5018" w:rsidP="00055B97">
      <w:pPr>
        <w:pStyle w:val="Prrafodelista"/>
        <w:numPr>
          <w:ilvl w:val="0"/>
          <w:numId w:val="15"/>
        </w:numPr>
        <w:jc w:val="both"/>
        <w:rPr>
          <w:rFonts w:ascii="Arial" w:hAnsi="Arial" w:cs="Arial"/>
          <w:b/>
          <w:u w:val="single"/>
          <w:lang w:val="es-BO"/>
        </w:rPr>
      </w:pPr>
      <w:r w:rsidRPr="00055B97">
        <w:rPr>
          <w:rFonts w:ascii="Arial" w:hAnsi="Arial" w:cs="Arial"/>
          <w:b/>
          <w:u w:val="single"/>
          <w:lang w:val="es-BO"/>
        </w:rPr>
        <w:t>Justificación</w:t>
      </w:r>
    </w:p>
    <w:p w:rsidR="00BD0CFA" w:rsidRPr="00055B97" w:rsidRDefault="00532128" w:rsidP="00055B97">
      <w:pPr>
        <w:pStyle w:val="NormalWeb"/>
        <w:spacing w:before="0" w:beforeAutospacing="0" w:after="150" w:afterAutospacing="0"/>
        <w:ind w:left="720"/>
        <w:jc w:val="both"/>
        <w:rPr>
          <w:rFonts w:ascii="Arial" w:hAnsi="Arial" w:cs="Arial"/>
          <w:sz w:val="22"/>
          <w:szCs w:val="22"/>
          <w:lang w:val="es-BO"/>
        </w:rPr>
      </w:pPr>
      <w:r w:rsidRPr="00055B97">
        <w:rPr>
          <w:rFonts w:ascii="Arial" w:hAnsi="Arial" w:cs="Arial"/>
          <w:color w:val="222222"/>
          <w:sz w:val="22"/>
          <w:szCs w:val="22"/>
          <w:lang w:val="es-BO"/>
        </w:rPr>
        <w:t xml:space="preserve">Los criterios tomados para </w:t>
      </w:r>
      <w:r w:rsidR="00BD0CFA" w:rsidRPr="00055B97">
        <w:rPr>
          <w:rFonts w:ascii="Arial" w:hAnsi="Arial" w:cs="Arial"/>
          <w:color w:val="222222"/>
          <w:sz w:val="22"/>
          <w:szCs w:val="22"/>
          <w:lang w:val="es-BO"/>
        </w:rPr>
        <w:t>l</w:t>
      </w:r>
      <w:r w:rsidRPr="00055B97">
        <w:rPr>
          <w:rFonts w:ascii="Arial" w:hAnsi="Arial" w:cs="Arial"/>
          <w:color w:val="222222"/>
          <w:sz w:val="22"/>
          <w:szCs w:val="22"/>
          <w:lang w:val="es-BO"/>
        </w:rPr>
        <w:t xml:space="preserve">a comparación de las estructuras de los GAIOCS fueron la </w:t>
      </w:r>
      <w:r w:rsidRPr="00055B97">
        <w:rPr>
          <w:rFonts w:ascii="Arial" w:hAnsi="Arial" w:cs="Arial"/>
          <w:b/>
          <w:i/>
          <w:color w:val="222222"/>
          <w:sz w:val="22"/>
          <w:szCs w:val="22"/>
          <w:lang w:val="es-BO"/>
        </w:rPr>
        <w:t xml:space="preserve">estructura territorial, la diversidad </w:t>
      </w:r>
      <w:r w:rsidR="00BD0CFA" w:rsidRPr="00055B97">
        <w:rPr>
          <w:rFonts w:ascii="Arial" w:hAnsi="Arial" w:cs="Arial"/>
          <w:b/>
          <w:i/>
          <w:color w:val="222222"/>
          <w:sz w:val="22"/>
          <w:szCs w:val="22"/>
          <w:lang w:val="es-BO"/>
        </w:rPr>
        <w:t>cultural-</w:t>
      </w:r>
      <w:r w:rsidRPr="00055B97">
        <w:rPr>
          <w:rFonts w:ascii="Arial" w:hAnsi="Arial" w:cs="Arial"/>
          <w:b/>
          <w:i/>
          <w:color w:val="222222"/>
          <w:sz w:val="22"/>
          <w:szCs w:val="22"/>
          <w:lang w:val="es-BO"/>
        </w:rPr>
        <w:t>poblacional y ubicación</w:t>
      </w:r>
      <w:r w:rsidRPr="00055B97">
        <w:rPr>
          <w:rFonts w:ascii="Arial" w:hAnsi="Arial" w:cs="Arial"/>
          <w:color w:val="222222"/>
          <w:sz w:val="22"/>
          <w:szCs w:val="22"/>
          <w:lang w:val="es-BO"/>
        </w:rPr>
        <w:t xml:space="preserve"> </w:t>
      </w:r>
      <w:r w:rsidRPr="00055B97">
        <w:rPr>
          <w:rFonts w:ascii="Arial" w:hAnsi="Arial" w:cs="Arial"/>
          <w:b/>
          <w:i/>
          <w:color w:val="222222"/>
          <w:sz w:val="22"/>
          <w:szCs w:val="22"/>
          <w:lang w:val="es-BO"/>
        </w:rPr>
        <w:t>regional.</w:t>
      </w:r>
      <w:r w:rsidR="00BD0CFA" w:rsidRPr="00055B97">
        <w:rPr>
          <w:rFonts w:ascii="Arial" w:hAnsi="Arial" w:cs="Arial"/>
          <w:color w:val="222222"/>
          <w:sz w:val="22"/>
          <w:szCs w:val="22"/>
          <w:lang w:val="es-BO"/>
        </w:rPr>
        <w:t xml:space="preserve"> </w:t>
      </w:r>
      <w:r w:rsidR="00BD0CFA" w:rsidRPr="00055B97">
        <w:rPr>
          <w:rFonts w:ascii="Arial" w:hAnsi="Arial" w:cs="Arial"/>
          <w:sz w:val="22"/>
          <w:szCs w:val="22"/>
          <w:lang w:val="es-BO"/>
        </w:rPr>
        <w:t xml:space="preserve">Ambos casos tienen diferencias geográficas y culturales que los convierten en emblemáticos para tierras altas y tierras bajas; son representaciones de luchas ancestrales para el autogobierno, por lo que tienen valor histórico y simbólico a nivel regional. En ambos casos, se representa </w:t>
      </w:r>
      <w:r w:rsidR="00BD0CFA" w:rsidRPr="00055B97">
        <w:rPr>
          <w:rFonts w:ascii="Arial" w:hAnsi="Arial" w:cs="Arial"/>
          <w:color w:val="222222"/>
          <w:sz w:val="22"/>
          <w:szCs w:val="22"/>
          <w:lang w:val="es-BO"/>
        </w:rPr>
        <w:t>una organización milenaria con estructuras organizacionales ancestrales.</w:t>
      </w:r>
      <w:r w:rsidR="00296E04" w:rsidRPr="00055B97">
        <w:rPr>
          <w:rFonts w:ascii="Arial" w:hAnsi="Arial" w:cs="Arial"/>
          <w:color w:val="222222"/>
          <w:sz w:val="22"/>
          <w:szCs w:val="22"/>
          <w:lang w:val="es-BO"/>
        </w:rPr>
        <w:t xml:space="preserve"> Es </w:t>
      </w:r>
      <w:proofErr w:type="spellStart"/>
      <w:r w:rsidR="00296E04" w:rsidRPr="00055B97">
        <w:rPr>
          <w:rFonts w:ascii="Arial" w:hAnsi="Arial" w:cs="Arial"/>
          <w:color w:val="222222"/>
          <w:sz w:val="22"/>
          <w:szCs w:val="22"/>
          <w:lang w:val="es-BO"/>
        </w:rPr>
        <w:t>decir</w:t>
      </w:r>
      <w:proofErr w:type="gramStart"/>
      <w:r w:rsidR="00296E04" w:rsidRPr="00055B97">
        <w:rPr>
          <w:rFonts w:ascii="Arial" w:hAnsi="Arial" w:cs="Arial"/>
          <w:color w:val="222222"/>
          <w:sz w:val="22"/>
          <w:szCs w:val="22"/>
          <w:lang w:val="es-BO"/>
        </w:rPr>
        <w:t>,tanto</w:t>
      </w:r>
      <w:proofErr w:type="spellEnd"/>
      <w:proofErr w:type="gramEnd"/>
      <w:r w:rsidR="00296E04" w:rsidRPr="00055B97">
        <w:rPr>
          <w:rFonts w:ascii="Arial" w:hAnsi="Arial" w:cs="Arial"/>
          <w:color w:val="222222"/>
          <w:sz w:val="22"/>
          <w:szCs w:val="22"/>
          <w:lang w:val="es-BO"/>
        </w:rPr>
        <w:t xml:space="preserve"> en las tierras bajas como altas los pueblos indígenas tienen su propia forma de organización, de acuerdo a sus usos y costumbres que ha practicado por muchos años. También llama la atención que </w:t>
      </w:r>
      <w:proofErr w:type="spellStart"/>
      <w:r w:rsidR="00296E04" w:rsidRPr="00055B97">
        <w:rPr>
          <w:rFonts w:ascii="Arial" w:hAnsi="Arial" w:cs="Arial"/>
          <w:color w:val="222222"/>
          <w:sz w:val="22"/>
          <w:szCs w:val="22"/>
          <w:lang w:val="es-BO"/>
        </w:rPr>
        <w:t>Chipaya</w:t>
      </w:r>
      <w:proofErr w:type="spellEnd"/>
      <w:r w:rsidR="00296E04" w:rsidRPr="00055B97">
        <w:rPr>
          <w:rFonts w:ascii="Arial" w:hAnsi="Arial" w:cs="Arial"/>
          <w:color w:val="222222"/>
          <w:sz w:val="22"/>
          <w:szCs w:val="22"/>
          <w:lang w:val="es-BO"/>
        </w:rPr>
        <w:t xml:space="preserve"> y </w:t>
      </w:r>
      <w:proofErr w:type="spellStart"/>
      <w:r w:rsidR="00296E04" w:rsidRPr="00055B97">
        <w:rPr>
          <w:rFonts w:ascii="Arial" w:hAnsi="Arial" w:cs="Arial"/>
          <w:color w:val="222222"/>
          <w:sz w:val="22"/>
          <w:szCs w:val="22"/>
          <w:lang w:val="es-BO"/>
        </w:rPr>
        <w:t>Charagua</w:t>
      </w:r>
      <w:proofErr w:type="spellEnd"/>
      <w:r w:rsidR="00296E04" w:rsidRPr="00055B97">
        <w:rPr>
          <w:rFonts w:ascii="Arial" w:hAnsi="Arial" w:cs="Arial"/>
          <w:color w:val="222222"/>
          <w:sz w:val="22"/>
          <w:szCs w:val="22"/>
          <w:lang w:val="es-BO"/>
        </w:rPr>
        <w:t xml:space="preserve"> hayan constituido su AIOC con base en la organización milenaria, pero haciendo ajustes y asimilando algunas formas de sus diversas realidades (por ejemplo, en el caso de </w:t>
      </w:r>
      <w:proofErr w:type="spellStart"/>
      <w:r w:rsidR="00296E04" w:rsidRPr="00055B97">
        <w:rPr>
          <w:rFonts w:ascii="Arial" w:hAnsi="Arial" w:cs="Arial"/>
          <w:color w:val="222222"/>
          <w:sz w:val="22"/>
          <w:szCs w:val="22"/>
          <w:lang w:val="es-BO"/>
        </w:rPr>
        <w:t>Charagua</w:t>
      </w:r>
      <w:proofErr w:type="spellEnd"/>
      <w:r w:rsidR="00296E04" w:rsidRPr="00055B97">
        <w:rPr>
          <w:rFonts w:ascii="Arial" w:hAnsi="Arial" w:cs="Arial"/>
          <w:color w:val="222222"/>
          <w:sz w:val="22"/>
          <w:szCs w:val="22"/>
          <w:lang w:val="es-BO"/>
        </w:rPr>
        <w:t>, se incluyó a la población menonita que habita en su territorio) para autogobernarse.</w:t>
      </w:r>
    </w:p>
    <w:p w:rsidR="00BD0CFA" w:rsidRPr="00055B97" w:rsidRDefault="00BD0CFA" w:rsidP="00055B97">
      <w:pPr>
        <w:pStyle w:val="NormalWeb"/>
        <w:spacing w:before="0" w:beforeAutospacing="0" w:after="150" w:afterAutospacing="0"/>
        <w:ind w:left="720"/>
        <w:jc w:val="both"/>
        <w:rPr>
          <w:rFonts w:ascii="Arial" w:hAnsi="Arial" w:cs="Arial"/>
          <w:color w:val="222222"/>
          <w:sz w:val="22"/>
          <w:szCs w:val="22"/>
          <w:lang w:val="es-BO"/>
        </w:rPr>
      </w:pPr>
      <w:r w:rsidRPr="00055B97">
        <w:rPr>
          <w:rFonts w:ascii="Arial" w:hAnsi="Arial" w:cs="Arial"/>
          <w:color w:val="222222"/>
          <w:sz w:val="22"/>
          <w:szCs w:val="22"/>
          <w:lang w:val="es-BO"/>
        </w:rPr>
        <w:t xml:space="preserve">Las características que hacen relevantes a estas </w:t>
      </w:r>
      <w:proofErr w:type="spellStart"/>
      <w:r w:rsidRPr="00055B97">
        <w:rPr>
          <w:rFonts w:ascii="Arial" w:hAnsi="Arial" w:cs="Arial"/>
          <w:color w:val="222222"/>
          <w:sz w:val="22"/>
          <w:szCs w:val="22"/>
          <w:lang w:val="es-BO"/>
        </w:rPr>
        <w:t>AIOCs</w:t>
      </w:r>
      <w:proofErr w:type="spellEnd"/>
      <w:r w:rsidRPr="00055B97">
        <w:rPr>
          <w:rFonts w:ascii="Arial" w:hAnsi="Arial" w:cs="Arial"/>
          <w:color w:val="222222"/>
          <w:sz w:val="22"/>
          <w:szCs w:val="22"/>
          <w:lang w:val="es-BO"/>
        </w:rPr>
        <w:t xml:space="preserve"> para nuestros estudios son:</w:t>
      </w:r>
    </w:p>
    <w:p w:rsidR="00BD0CFA" w:rsidRPr="00055B97" w:rsidRDefault="00BD0CFA" w:rsidP="00055B97">
      <w:pPr>
        <w:pStyle w:val="NormalWeb"/>
        <w:numPr>
          <w:ilvl w:val="0"/>
          <w:numId w:val="12"/>
        </w:numPr>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 xml:space="preserve">Son dos de los 3 primeros autogobiernos indígenas de Bolivia. </w:t>
      </w:r>
      <w:r w:rsidRPr="00055B97">
        <w:rPr>
          <w:rFonts w:ascii="Arial" w:hAnsi="Arial" w:cs="Arial"/>
          <w:sz w:val="22"/>
          <w:szCs w:val="22"/>
          <w:lang w:val="es-BO"/>
        </w:rPr>
        <w:t>A la fecha estos dos casos de AIOCS ya están en funcionamiento y son pioneras, que muestran el camino para los otros 27 procesos.</w:t>
      </w:r>
    </w:p>
    <w:p w:rsidR="00BD0CFA" w:rsidRPr="00055B97" w:rsidRDefault="00BD0CFA" w:rsidP="00055B97">
      <w:pPr>
        <w:pStyle w:val="NormalWeb"/>
        <w:numPr>
          <w:ilvl w:val="0"/>
          <w:numId w:val="12"/>
        </w:numPr>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 xml:space="preserve">Ambos casos tienen </w:t>
      </w:r>
      <w:r w:rsidR="00532128" w:rsidRPr="00055B97">
        <w:rPr>
          <w:rFonts w:ascii="Arial" w:hAnsi="Arial" w:cs="Arial"/>
          <w:color w:val="222222"/>
          <w:sz w:val="22"/>
          <w:szCs w:val="22"/>
          <w:lang w:val="es-BO"/>
        </w:rPr>
        <w:t>estructuras de la gestión de las autonomías indígenas a través de tres órganos de gobierno: órgano de decisión colectivo-asamblea grande, órgano ejecutivo y  órgano legislativo.</w:t>
      </w:r>
    </w:p>
    <w:p w:rsidR="00BD0CFA" w:rsidRPr="00055B97" w:rsidRDefault="00532128" w:rsidP="00055B97">
      <w:pPr>
        <w:pStyle w:val="NormalWeb"/>
        <w:numPr>
          <w:ilvl w:val="0"/>
          <w:numId w:val="12"/>
        </w:numPr>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Los dos</w:t>
      </w:r>
      <w:r w:rsidR="00BD0CFA" w:rsidRPr="00055B97">
        <w:rPr>
          <w:rFonts w:ascii="Arial" w:hAnsi="Arial" w:cs="Arial"/>
          <w:color w:val="222222"/>
          <w:sz w:val="22"/>
          <w:szCs w:val="22"/>
          <w:lang w:val="es-BO"/>
        </w:rPr>
        <w:t xml:space="preserve"> responden a sistemas distintos e innovadores de gobierno. El GAIOC </w:t>
      </w:r>
      <w:proofErr w:type="spellStart"/>
      <w:r w:rsidR="00BD0CFA" w:rsidRPr="00055B97">
        <w:rPr>
          <w:rFonts w:ascii="Arial" w:hAnsi="Arial" w:cs="Arial"/>
          <w:color w:val="222222"/>
          <w:sz w:val="22"/>
          <w:szCs w:val="22"/>
          <w:lang w:val="es-BO"/>
        </w:rPr>
        <w:t>Charagua</w:t>
      </w:r>
      <w:proofErr w:type="spellEnd"/>
      <w:r w:rsidR="00BD0CFA" w:rsidRPr="00055B97">
        <w:rPr>
          <w:rFonts w:ascii="Arial" w:hAnsi="Arial" w:cs="Arial"/>
          <w:color w:val="222222"/>
          <w:sz w:val="22"/>
          <w:szCs w:val="22"/>
          <w:lang w:val="es-BO"/>
        </w:rPr>
        <w:t xml:space="preserve"> </w:t>
      </w:r>
      <w:proofErr w:type="spellStart"/>
      <w:r w:rsidR="00BD0CFA" w:rsidRPr="00055B97">
        <w:rPr>
          <w:rFonts w:ascii="Arial" w:hAnsi="Arial" w:cs="Arial"/>
          <w:color w:val="222222"/>
          <w:sz w:val="22"/>
          <w:szCs w:val="22"/>
          <w:lang w:val="es-BO"/>
        </w:rPr>
        <w:t>Iyambae</w:t>
      </w:r>
      <w:proofErr w:type="spellEnd"/>
      <w:r w:rsidR="00BD0CFA" w:rsidRPr="00055B97">
        <w:rPr>
          <w:rFonts w:ascii="Arial" w:hAnsi="Arial" w:cs="Arial"/>
          <w:color w:val="222222"/>
          <w:sz w:val="22"/>
          <w:szCs w:val="22"/>
          <w:lang w:val="es-BO"/>
        </w:rPr>
        <w:t xml:space="preserve"> tiene un s</w:t>
      </w:r>
      <w:r w:rsidRPr="00055B97">
        <w:rPr>
          <w:rFonts w:ascii="Arial" w:hAnsi="Arial" w:cs="Arial"/>
          <w:color w:val="222222"/>
          <w:sz w:val="22"/>
          <w:szCs w:val="22"/>
          <w:lang w:val="es-BO"/>
        </w:rPr>
        <w:t>istema descentralizado de administración con sistema delegado de representació</w:t>
      </w:r>
      <w:r w:rsidR="00BD0CFA" w:rsidRPr="00055B97">
        <w:rPr>
          <w:rFonts w:ascii="Arial" w:hAnsi="Arial" w:cs="Arial"/>
          <w:color w:val="222222"/>
          <w:sz w:val="22"/>
          <w:szCs w:val="22"/>
          <w:lang w:val="es-BO"/>
        </w:rPr>
        <w:t>n territorial y administrativo</w:t>
      </w:r>
      <w:r w:rsidRPr="00055B97">
        <w:rPr>
          <w:rFonts w:ascii="Arial" w:hAnsi="Arial" w:cs="Arial"/>
          <w:color w:val="222222"/>
          <w:sz w:val="22"/>
          <w:szCs w:val="22"/>
          <w:lang w:val="es-BO"/>
        </w:rPr>
        <w:t>,</w:t>
      </w:r>
      <w:r w:rsidR="00BD0CFA" w:rsidRPr="00055B97">
        <w:rPr>
          <w:rFonts w:ascii="Arial" w:hAnsi="Arial" w:cs="Arial"/>
          <w:color w:val="222222"/>
          <w:sz w:val="22"/>
          <w:szCs w:val="22"/>
          <w:lang w:val="es-BO"/>
        </w:rPr>
        <w:t xml:space="preserve"> mientras que el GAIOC </w:t>
      </w:r>
      <w:proofErr w:type="spellStart"/>
      <w:r w:rsidR="00BD0CFA" w:rsidRPr="00055B97">
        <w:rPr>
          <w:rFonts w:ascii="Arial" w:hAnsi="Arial" w:cs="Arial"/>
          <w:color w:val="222222"/>
          <w:sz w:val="22"/>
          <w:szCs w:val="22"/>
          <w:lang w:val="es-BO"/>
        </w:rPr>
        <w:t>Uru</w:t>
      </w:r>
      <w:proofErr w:type="spellEnd"/>
      <w:r w:rsidR="00BD0CFA" w:rsidRPr="00055B97">
        <w:rPr>
          <w:rFonts w:ascii="Arial" w:hAnsi="Arial" w:cs="Arial"/>
          <w:color w:val="222222"/>
          <w:sz w:val="22"/>
          <w:szCs w:val="22"/>
          <w:lang w:val="es-BO"/>
        </w:rPr>
        <w:t xml:space="preserve"> </w:t>
      </w:r>
      <w:proofErr w:type="spellStart"/>
      <w:r w:rsidR="00BD0CFA" w:rsidRPr="00055B97">
        <w:rPr>
          <w:rFonts w:ascii="Arial" w:hAnsi="Arial" w:cs="Arial"/>
          <w:color w:val="222222"/>
          <w:sz w:val="22"/>
          <w:szCs w:val="22"/>
          <w:lang w:val="es-BO"/>
        </w:rPr>
        <w:t>Chipaya</w:t>
      </w:r>
      <w:proofErr w:type="spellEnd"/>
      <w:r w:rsidR="00BD0CFA" w:rsidRPr="00055B97">
        <w:rPr>
          <w:rFonts w:ascii="Arial" w:hAnsi="Arial" w:cs="Arial"/>
          <w:color w:val="222222"/>
          <w:sz w:val="22"/>
          <w:szCs w:val="22"/>
          <w:lang w:val="es-BO"/>
        </w:rPr>
        <w:t xml:space="preserve"> tiene un s</w:t>
      </w:r>
      <w:r w:rsidRPr="00055B97">
        <w:rPr>
          <w:rFonts w:ascii="Arial" w:hAnsi="Arial" w:cs="Arial"/>
          <w:color w:val="222222"/>
          <w:sz w:val="22"/>
          <w:szCs w:val="22"/>
          <w:lang w:val="es-BO"/>
        </w:rPr>
        <w:t>istema centralizado de administración con sistema mixto de representación.</w:t>
      </w:r>
    </w:p>
    <w:p w:rsidR="00296E04" w:rsidRPr="00055B97" w:rsidRDefault="00532128" w:rsidP="00055B97">
      <w:pPr>
        <w:pStyle w:val="NormalWeb"/>
        <w:numPr>
          <w:ilvl w:val="0"/>
          <w:numId w:val="12"/>
        </w:numPr>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 xml:space="preserve">La organización territorial ancestral de </w:t>
      </w:r>
      <w:proofErr w:type="spellStart"/>
      <w:r w:rsidRPr="00055B97">
        <w:rPr>
          <w:rFonts w:ascii="Arial" w:hAnsi="Arial" w:cs="Arial"/>
          <w:color w:val="222222"/>
          <w:sz w:val="22"/>
          <w:szCs w:val="22"/>
          <w:lang w:val="es-BO"/>
        </w:rPr>
        <w:t>C</w:t>
      </w:r>
      <w:r w:rsidR="00BD0CFA" w:rsidRPr="00055B97">
        <w:rPr>
          <w:rFonts w:ascii="Arial" w:hAnsi="Arial" w:cs="Arial"/>
          <w:color w:val="222222"/>
          <w:sz w:val="22"/>
          <w:szCs w:val="22"/>
          <w:lang w:val="es-BO"/>
        </w:rPr>
        <w:t>haragua</w:t>
      </w:r>
      <w:proofErr w:type="spellEnd"/>
      <w:r w:rsidR="00BD0CFA" w:rsidRPr="00055B97">
        <w:rPr>
          <w:rFonts w:ascii="Arial" w:hAnsi="Arial" w:cs="Arial"/>
          <w:color w:val="222222"/>
          <w:sz w:val="22"/>
          <w:szCs w:val="22"/>
          <w:lang w:val="es-BO"/>
        </w:rPr>
        <w:t xml:space="preserve"> </w:t>
      </w:r>
      <w:proofErr w:type="spellStart"/>
      <w:r w:rsidR="00BD0CFA" w:rsidRPr="00055B97">
        <w:rPr>
          <w:rFonts w:ascii="Arial" w:hAnsi="Arial" w:cs="Arial"/>
          <w:color w:val="222222"/>
          <w:sz w:val="22"/>
          <w:szCs w:val="22"/>
          <w:lang w:val="es-BO"/>
        </w:rPr>
        <w:t>Iyambae</w:t>
      </w:r>
      <w:proofErr w:type="spellEnd"/>
      <w:r w:rsidR="00BD0CFA" w:rsidRPr="00055B97">
        <w:rPr>
          <w:rFonts w:ascii="Arial" w:hAnsi="Arial" w:cs="Arial"/>
          <w:color w:val="222222"/>
          <w:sz w:val="22"/>
          <w:szCs w:val="22"/>
          <w:lang w:val="es-BO"/>
        </w:rPr>
        <w:t xml:space="preserve"> está organizada </w:t>
      </w:r>
      <w:r w:rsidRPr="00055B97">
        <w:rPr>
          <w:rFonts w:ascii="Arial" w:hAnsi="Arial" w:cs="Arial"/>
          <w:color w:val="222222"/>
          <w:sz w:val="22"/>
          <w:szCs w:val="22"/>
          <w:lang w:val="es-BO"/>
        </w:rPr>
        <w:t xml:space="preserve">por cuatro capitanías guaraníes y la Asamblea del Pueblo Guaraní que conservó la </w:t>
      </w:r>
      <w:r w:rsidRPr="00055B97">
        <w:rPr>
          <w:rFonts w:ascii="Arial" w:hAnsi="Arial" w:cs="Arial"/>
          <w:color w:val="222222"/>
          <w:sz w:val="22"/>
          <w:szCs w:val="22"/>
          <w:lang w:val="es-BO"/>
        </w:rPr>
        <w:lastRenderedPageBreak/>
        <w:t>forma de organización territorial ancestral.</w:t>
      </w:r>
      <w:r w:rsidR="00BD0CFA" w:rsidRPr="00055B97">
        <w:rPr>
          <w:rFonts w:ascii="Arial" w:hAnsi="Arial" w:cs="Arial"/>
          <w:color w:val="222222"/>
          <w:sz w:val="22"/>
          <w:szCs w:val="22"/>
          <w:lang w:val="es-BO"/>
        </w:rPr>
        <w:t xml:space="preserve"> </w:t>
      </w:r>
      <w:r w:rsidRPr="00055B97">
        <w:rPr>
          <w:rFonts w:ascii="Arial" w:hAnsi="Arial" w:cs="Arial"/>
          <w:color w:val="222222"/>
          <w:sz w:val="22"/>
          <w:szCs w:val="22"/>
          <w:lang w:val="es-BO"/>
        </w:rPr>
        <w:t xml:space="preserve">La organización territorial de </w:t>
      </w:r>
      <w:proofErr w:type="spellStart"/>
      <w:r w:rsidRPr="00055B97">
        <w:rPr>
          <w:rFonts w:ascii="Arial" w:hAnsi="Arial" w:cs="Arial"/>
          <w:color w:val="222222"/>
          <w:sz w:val="22"/>
          <w:szCs w:val="22"/>
          <w:lang w:val="es-BO"/>
        </w:rPr>
        <w:t>Uru</w:t>
      </w:r>
      <w:proofErr w:type="spellEnd"/>
      <w:r w:rsidRPr="00055B97">
        <w:rPr>
          <w:rFonts w:ascii="Arial" w:hAnsi="Arial" w:cs="Arial"/>
          <w:color w:val="222222"/>
          <w:sz w:val="22"/>
          <w:szCs w:val="22"/>
          <w:lang w:val="es-BO"/>
        </w:rPr>
        <w:t xml:space="preserve"> </w:t>
      </w:r>
      <w:proofErr w:type="spellStart"/>
      <w:r w:rsidRPr="00055B97">
        <w:rPr>
          <w:rFonts w:ascii="Arial" w:hAnsi="Arial" w:cs="Arial"/>
          <w:color w:val="222222"/>
          <w:sz w:val="22"/>
          <w:szCs w:val="22"/>
          <w:lang w:val="es-BO"/>
        </w:rPr>
        <w:t>Chipaya</w:t>
      </w:r>
      <w:proofErr w:type="spellEnd"/>
      <w:r w:rsidRPr="00055B97">
        <w:rPr>
          <w:rFonts w:ascii="Arial" w:hAnsi="Arial" w:cs="Arial"/>
          <w:color w:val="222222"/>
          <w:sz w:val="22"/>
          <w:szCs w:val="22"/>
          <w:lang w:val="es-BO"/>
        </w:rPr>
        <w:t xml:space="preserve"> </w:t>
      </w:r>
      <w:r w:rsidR="00BD0CFA" w:rsidRPr="00055B97">
        <w:rPr>
          <w:rFonts w:ascii="Arial" w:hAnsi="Arial" w:cs="Arial"/>
          <w:color w:val="222222"/>
          <w:sz w:val="22"/>
          <w:szCs w:val="22"/>
          <w:lang w:val="es-BO"/>
        </w:rPr>
        <w:t>se divide en</w:t>
      </w:r>
      <w:r w:rsidRPr="00055B97">
        <w:rPr>
          <w:rFonts w:ascii="Arial" w:hAnsi="Arial" w:cs="Arial"/>
          <w:color w:val="222222"/>
          <w:sz w:val="22"/>
          <w:szCs w:val="22"/>
          <w:lang w:val="es-BO"/>
        </w:rPr>
        <w:t xml:space="preserve"> dos parcialidades: </w:t>
      </w:r>
      <w:proofErr w:type="spellStart"/>
      <w:r w:rsidRPr="00055B97">
        <w:rPr>
          <w:rFonts w:ascii="Arial" w:hAnsi="Arial" w:cs="Arial"/>
          <w:color w:val="222222"/>
          <w:sz w:val="22"/>
          <w:szCs w:val="22"/>
          <w:lang w:val="es-BO"/>
        </w:rPr>
        <w:t>Urinsaya-Aransaya</w:t>
      </w:r>
      <w:proofErr w:type="spellEnd"/>
      <w:r w:rsidRPr="00055B97">
        <w:rPr>
          <w:rFonts w:ascii="Arial" w:hAnsi="Arial" w:cs="Arial"/>
          <w:color w:val="222222"/>
          <w:sz w:val="22"/>
          <w:szCs w:val="22"/>
          <w:lang w:val="es-BO"/>
        </w:rPr>
        <w:t xml:space="preserve"> y ayllus que representan al interior de los </w:t>
      </w:r>
      <w:proofErr w:type="spellStart"/>
      <w:r w:rsidRPr="00055B97">
        <w:rPr>
          <w:rFonts w:ascii="Arial" w:hAnsi="Arial" w:cs="Arial"/>
          <w:color w:val="222222"/>
          <w:sz w:val="22"/>
          <w:szCs w:val="22"/>
          <w:lang w:val="es-BO"/>
        </w:rPr>
        <w:t>Chipayas</w:t>
      </w:r>
      <w:proofErr w:type="spellEnd"/>
      <w:r w:rsidRPr="00055B97">
        <w:rPr>
          <w:rFonts w:ascii="Arial" w:hAnsi="Arial" w:cs="Arial"/>
          <w:color w:val="222222"/>
          <w:sz w:val="22"/>
          <w:szCs w:val="22"/>
          <w:lang w:val="es-BO"/>
        </w:rPr>
        <w:t>.</w:t>
      </w:r>
    </w:p>
    <w:p w:rsidR="00532128" w:rsidRPr="00055B97" w:rsidRDefault="00296E04" w:rsidP="00055B97">
      <w:pPr>
        <w:pStyle w:val="NormalWeb"/>
        <w:numPr>
          <w:ilvl w:val="0"/>
          <w:numId w:val="12"/>
        </w:numPr>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T</w:t>
      </w:r>
      <w:r w:rsidR="00532128" w:rsidRPr="00055B97">
        <w:rPr>
          <w:rFonts w:ascii="Arial" w:hAnsi="Arial" w:cs="Arial"/>
          <w:color w:val="222222"/>
          <w:sz w:val="22"/>
          <w:szCs w:val="22"/>
          <w:lang w:val="es-BO"/>
        </w:rPr>
        <w:t xml:space="preserve">ambién denotamos la estructuración del gobierno autónomo. Esto, respecto a </w:t>
      </w:r>
      <w:proofErr w:type="spellStart"/>
      <w:r w:rsidR="00532128" w:rsidRPr="00055B97">
        <w:rPr>
          <w:rFonts w:ascii="Arial" w:hAnsi="Arial" w:cs="Arial"/>
          <w:color w:val="222222"/>
          <w:sz w:val="22"/>
          <w:szCs w:val="22"/>
          <w:lang w:val="es-BO"/>
        </w:rPr>
        <w:t>Charagua</w:t>
      </w:r>
      <w:proofErr w:type="spellEnd"/>
      <w:r w:rsidR="00532128" w:rsidRPr="00055B97">
        <w:rPr>
          <w:rFonts w:ascii="Arial" w:hAnsi="Arial" w:cs="Arial"/>
          <w:color w:val="222222"/>
          <w:sz w:val="22"/>
          <w:szCs w:val="22"/>
          <w:lang w:val="es-BO"/>
        </w:rPr>
        <w:t xml:space="preserve"> </w:t>
      </w:r>
      <w:proofErr w:type="spellStart"/>
      <w:r w:rsidR="00532128" w:rsidRPr="00055B97">
        <w:rPr>
          <w:rFonts w:ascii="Arial" w:hAnsi="Arial" w:cs="Arial"/>
          <w:color w:val="222222"/>
          <w:sz w:val="22"/>
          <w:szCs w:val="22"/>
          <w:lang w:val="es-BO"/>
        </w:rPr>
        <w:t>Iyambae</w:t>
      </w:r>
      <w:proofErr w:type="spellEnd"/>
      <w:r w:rsidR="00532128" w:rsidRPr="00055B97">
        <w:rPr>
          <w:rFonts w:ascii="Arial" w:hAnsi="Arial" w:cs="Arial"/>
          <w:color w:val="222222"/>
          <w:sz w:val="22"/>
          <w:szCs w:val="22"/>
          <w:lang w:val="es-BO"/>
        </w:rPr>
        <w:t xml:space="preserve"> ligado a la organización territorial, de acuerdo a su compos</w:t>
      </w:r>
      <w:r w:rsidRPr="00055B97">
        <w:rPr>
          <w:rFonts w:ascii="Arial" w:hAnsi="Arial" w:cs="Arial"/>
          <w:color w:val="222222"/>
          <w:sz w:val="22"/>
          <w:szCs w:val="22"/>
          <w:lang w:val="es-BO"/>
        </w:rPr>
        <w:t xml:space="preserve">ición social interna, con una asamblea comunal (instancia máxima) denominada </w:t>
      </w:r>
      <w:r w:rsidRPr="00055B97">
        <w:rPr>
          <w:rFonts w:ascii="Arial" w:hAnsi="Arial" w:cs="Arial"/>
          <w:sz w:val="22"/>
          <w:szCs w:val="22"/>
          <w:lang w:val="es-BO"/>
        </w:rPr>
        <w:t xml:space="preserve"> </w:t>
      </w:r>
      <w:proofErr w:type="spellStart"/>
      <w:r w:rsidRPr="00055B97">
        <w:rPr>
          <w:rFonts w:ascii="Arial" w:hAnsi="Arial" w:cs="Arial"/>
          <w:sz w:val="22"/>
          <w:szCs w:val="22"/>
          <w:lang w:val="es-BO"/>
        </w:rPr>
        <w:t>Ñemboati</w:t>
      </w:r>
      <w:proofErr w:type="spellEnd"/>
      <w:r w:rsidRPr="00055B97">
        <w:rPr>
          <w:rFonts w:ascii="Arial" w:hAnsi="Arial" w:cs="Arial"/>
          <w:sz w:val="22"/>
          <w:szCs w:val="22"/>
          <w:lang w:val="es-BO"/>
        </w:rPr>
        <w:t xml:space="preserve"> Reta.</w:t>
      </w:r>
      <w:r w:rsidRPr="00055B97">
        <w:rPr>
          <w:rFonts w:ascii="Arial" w:hAnsi="Arial" w:cs="Arial"/>
          <w:color w:val="222222"/>
          <w:sz w:val="22"/>
          <w:szCs w:val="22"/>
          <w:lang w:val="es-BO"/>
        </w:rPr>
        <w:t xml:space="preserve"> </w:t>
      </w:r>
      <w:r w:rsidR="00532128" w:rsidRPr="00055B97">
        <w:rPr>
          <w:rFonts w:ascii="Arial" w:hAnsi="Arial" w:cs="Arial"/>
          <w:color w:val="222222"/>
          <w:sz w:val="22"/>
          <w:szCs w:val="22"/>
          <w:lang w:val="es-BO"/>
        </w:rPr>
        <w:t xml:space="preserve">Mientras la forma de estructuración del gobierno originario de </w:t>
      </w:r>
      <w:proofErr w:type="spellStart"/>
      <w:r w:rsidR="00532128" w:rsidRPr="00055B97">
        <w:rPr>
          <w:rFonts w:ascii="Arial" w:hAnsi="Arial" w:cs="Arial"/>
          <w:color w:val="222222"/>
          <w:sz w:val="22"/>
          <w:szCs w:val="22"/>
          <w:lang w:val="es-BO"/>
        </w:rPr>
        <w:t>Uru</w:t>
      </w:r>
      <w:proofErr w:type="spellEnd"/>
      <w:r w:rsidR="00532128" w:rsidRPr="00055B97">
        <w:rPr>
          <w:rFonts w:ascii="Arial" w:hAnsi="Arial" w:cs="Arial"/>
          <w:color w:val="222222"/>
          <w:sz w:val="22"/>
          <w:szCs w:val="22"/>
          <w:lang w:val="es-BO"/>
        </w:rPr>
        <w:t xml:space="preserve"> </w:t>
      </w:r>
      <w:proofErr w:type="spellStart"/>
      <w:r w:rsidR="00532128" w:rsidRPr="00055B97">
        <w:rPr>
          <w:rFonts w:ascii="Arial" w:hAnsi="Arial" w:cs="Arial"/>
          <w:color w:val="222222"/>
          <w:sz w:val="22"/>
          <w:szCs w:val="22"/>
          <w:lang w:val="es-BO"/>
        </w:rPr>
        <w:t>Chipaya</w:t>
      </w:r>
      <w:proofErr w:type="spellEnd"/>
      <w:r w:rsidR="00532128" w:rsidRPr="00055B97">
        <w:rPr>
          <w:rFonts w:ascii="Arial" w:hAnsi="Arial" w:cs="Arial"/>
          <w:color w:val="222222"/>
          <w:sz w:val="22"/>
          <w:szCs w:val="22"/>
          <w:lang w:val="es-BO"/>
        </w:rPr>
        <w:t>, se mantuvo por miles de años y utiliza el mecanismo de “rotación de cargos” donde, cada ayllu elige una terna de personas que representa para ser autoridad, el cual es remitida a la máxima instancia de gobierno, es decir al</w:t>
      </w:r>
      <w:r w:rsidR="00532128" w:rsidRPr="00055B97">
        <w:rPr>
          <w:rFonts w:ascii="Arial" w:hAnsi="Arial" w:cs="Arial"/>
          <w:b/>
          <w:bCs/>
          <w:color w:val="222222"/>
          <w:sz w:val="22"/>
          <w:szCs w:val="22"/>
          <w:lang w:val="es-BO"/>
        </w:rPr>
        <w:t> </w:t>
      </w:r>
      <w:proofErr w:type="spellStart"/>
      <w:r w:rsidR="00532128" w:rsidRPr="00055B97">
        <w:rPr>
          <w:rFonts w:ascii="Arial" w:hAnsi="Arial" w:cs="Arial"/>
          <w:b/>
          <w:bCs/>
          <w:color w:val="222222"/>
          <w:sz w:val="22"/>
          <w:szCs w:val="22"/>
          <w:lang w:val="es-BO"/>
        </w:rPr>
        <w:t>Chawkh</w:t>
      </w:r>
      <w:proofErr w:type="spellEnd"/>
      <w:r w:rsidR="00532128" w:rsidRPr="00055B97">
        <w:rPr>
          <w:rFonts w:ascii="Arial" w:hAnsi="Arial" w:cs="Arial"/>
          <w:b/>
          <w:bCs/>
          <w:color w:val="222222"/>
          <w:sz w:val="22"/>
          <w:szCs w:val="22"/>
          <w:lang w:val="es-BO"/>
        </w:rPr>
        <w:t xml:space="preserve"> Parla.</w:t>
      </w:r>
    </w:p>
    <w:p w:rsidR="00ED5018" w:rsidRPr="00055B97" w:rsidRDefault="00532128" w:rsidP="00055B97">
      <w:pPr>
        <w:pStyle w:val="Prrafodelista"/>
        <w:numPr>
          <w:ilvl w:val="0"/>
          <w:numId w:val="15"/>
        </w:numPr>
        <w:jc w:val="both"/>
        <w:rPr>
          <w:rFonts w:ascii="Arial" w:hAnsi="Arial" w:cs="Arial"/>
          <w:b/>
          <w:u w:val="single"/>
          <w:lang w:val="es-BO"/>
        </w:rPr>
      </w:pPr>
      <w:r w:rsidRPr="00055B97">
        <w:rPr>
          <w:rFonts w:ascii="Arial" w:hAnsi="Arial" w:cs="Arial"/>
          <w:b/>
          <w:u w:val="single"/>
          <w:lang w:val="es-BO"/>
        </w:rPr>
        <w:t>Dificultades y Limitantes</w:t>
      </w:r>
    </w:p>
    <w:p w:rsidR="00532128" w:rsidRPr="00055B97" w:rsidRDefault="00532128" w:rsidP="00055B97">
      <w:pPr>
        <w:pStyle w:val="NormalWeb"/>
        <w:spacing w:before="0" w:beforeAutospacing="0" w:after="150" w:afterAutospacing="0"/>
        <w:ind w:left="720"/>
        <w:jc w:val="both"/>
        <w:rPr>
          <w:rFonts w:ascii="Arial" w:hAnsi="Arial" w:cs="Arial"/>
          <w:color w:val="222222"/>
          <w:sz w:val="22"/>
          <w:szCs w:val="22"/>
          <w:lang w:val="es-BO"/>
        </w:rPr>
      </w:pPr>
      <w:r w:rsidRPr="00055B97">
        <w:rPr>
          <w:rFonts w:ascii="Arial" w:hAnsi="Arial" w:cs="Arial"/>
          <w:color w:val="222222"/>
          <w:sz w:val="22"/>
          <w:szCs w:val="22"/>
          <w:lang w:val="es-BO"/>
        </w:rPr>
        <w:t>De principio las estructuras diseñadas para cada GAIOC, no parecen mostrar dificultades ni limitaciones, ya que estas pueden identificarse en la medida de su funcionamiento y ambas son recientes.</w:t>
      </w:r>
      <w:r w:rsidR="00296E04" w:rsidRPr="00055B97">
        <w:rPr>
          <w:rFonts w:ascii="Arial" w:hAnsi="Arial" w:cs="Arial"/>
          <w:color w:val="222222"/>
          <w:sz w:val="22"/>
          <w:szCs w:val="22"/>
          <w:lang w:val="es-BO"/>
        </w:rPr>
        <w:t xml:space="preserve"> </w:t>
      </w:r>
      <w:r w:rsidRPr="00055B97">
        <w:rPr>
          <w:rFonts w:ascii="Arial" w:hAnsi="Arial" w:cs="Arial"/>
          <w:color w:val="222222"/>
          <w:sz w:val="22"/>
          <w:szCs w:val="22"/>
          <w:lang w:val="es-BO"/>
        </w:rPr>
        <w:t>Por lo anterior, no es fácil identificar dificultades, menos aún limitaciones.</w:t>
      </w:r>
    </w:p>
    <w:p w:rsidR="00532128" w:rsidRPr="00055B97" w:rsidRDefault="00296E04" w:rsidP="00055B97">
      <w:pPr>
        <w:pStyle w:val="NormalWeb"/>
        <w:spacing w:before="0" w:beforeAutospacing="0" w:after="150" w:afterAutospacing="0"/>
        <w:ind w:left="720"/>
        <w:jc w:val="both"/>
        <w:rPr>
          <w:rFonts w:ascii="Arial" w:hAnsi="Arial" w:cs="Arial"/>
          <w:color w:val="222222"/>
          <w:sz w:val="22"/>
          <w:szCs w:val="22"/>
          <w:lang w:val="es-BO"/>
        </w:rPr>
      </w:pPr>
      <w:r w:rsidRPr="00055B97">
        <w:rPr>
          <w:rFonts w:ascii="Arial" w:hAnsi="Arial" w:cs="Arial"/>
          <w:color w:val="222222"/>
          <w:sz w:val="22"/>
          <w:szCs w:val="22"/>
          <w:lang w:val="es-BO"/>
        </w:rPr>
        <w:t>Los aportes presentados a continuación buscan visibilizar dificultades y limitaciones recientes y</w:t>
      </w:r>
      <w:r w:rsidR="00532128" w:rsidRPr="00055B97">
        <w:rPr>
          <w:rFonts w:ascii="Arial" w:hAnsi="Arial" w:cs="Arial"/>
          <w:color w:val="222222"/>
          <w:sz w:val="22"/>
          <w:szCs w:val="22"/>
          <w:lang w:val="es-BO"/>
        </w:rPr>
        <w:t xml:space="preserve"> </w:t>
      </w:r>
      <w:r w:rsidRPr="00055B97">
        <w:rPr>
          <w:rFonts w:ascii="Arial" w:hAnsi="Arial" w:cs="Arial"/>
          <w:color w:val="222222"/>
          <w:sz w:val="22"/>
          <w:szCs w:val="22"/>
          <w:lang w:val="es-BO"/>
        </w:rPr>
        <w:t xml:space="preserve">aún poco estudiadas; además de dar a ver </w:t>
      </w:r>
      <w:r w:rsidR="00532128" w:rsidRPr="00055B97">
        <w:rPr>
          <w:rFonts w:ascii="Arial" w:hAnsi="Arial" w:cs="Arial"/>
          <w:color w:val="222222"/>
          <w:sz w:val="22"/>
          <w:szCs w:val="22"/>
          <w:lang w:val="es-BO"/>
        </w:rPr>
        <w:t>la</w:t>
      </w:r>
      <w:r w:rsidRPr="00055B97">
        <w:rPr>
          <w:rFonts w:ascii="Arial" w:hAnsi="Arial" w:cs="Arial"/>
          <w:color w:val="222222"/>
          <w:sz w:val="22"/>
          <w:szCs w:val="22"/>
          <w:lang w:val="es-BO"/>
        </w:rPr>
        <w:t>s</w:t>
      </w:r>
      <w:r w:rsidR="00532128" w:rsidRPr="00055B97">
        <w:rPr>
          <w:rFonts w:ascii="Arial" w:hAnsi="Arial" w:cs="Arial"/>
          <w:color w:val="222222"/>
          <w:sz w:val="22"/>
          <w:szCs w:val="22"/>
          <w:lang w:val="es-BO"/>
        </w:rPr>
        <w:t xml:space="preserve"> posibilidad</w:t>
      </w:r>
      <w:r w:rsidRPr="00055B97">
        <w:rPr>
          <w:rFonts w:ascii="Arial" w:hAnsi="Arial" w:cs="Arial"/>
          <w:color w:val="222222"/>
          <w:sz w:val="22"/>
          <w:szCs w:val="22"/>
          <w:lang w:val="es-BO"/>
        </w:rPr>
        <w:t>es</w:t>
      </w:r>
      <w:r w:rsidR="00532128" w:rsidRPr="00055B97">
        <w:rPr>
          <w:rFonts w:ascii="Arial" w:hAnsi="Arial" w:cs="Arial"/>
          <w:color w:val="222222"/>
          <w:sz w:val="22"/>
          <w:szCs w:val="22"/>
          <w:lang w:val="es-BO"/>
        </w:rPr>
        <w:t xml:space="preserve"> que se puedan presentar en el futuro </w:t>
      </w:r>
      <w:r w:rsidRPr="00055B97">
        <w:rPr>
          <w:rFonts w:ascii="Arial" w:hAnsi="Arial" w:cs="Arial"/>
          <w:color w:val="222222"/>
          <w:sz w:val="22"/>
          <w:szCs w:val="22"/>
          <w:lang w:val="es-BO"/>
        </w:rPr>
        <w:t xml:space="preserve">en cuanto a </w:t>
      </w:r>
      <w:r w:rsidR="00532128" w:rsidRPr="00055B97">
        <w:rPr>
          <w:rFonts w:ascii="Arial" w:hAnsi="Arial" w:cs="Arial"/>
          <w:color w:val="222222"/>
          <w:sz w:val="22"/>
          <w:szCs w:val="22"/>
          <w:lang w:val="es-BO"/>
        </w:rPr>
        <w:t>dificultades y limitaciones de selección identificados en el punto 1.</w:t>
      </w:r>
    </w:p>
    <w:tbl>
      <w:tblPr>
        <w:tblStyle w:val="Sombreadomedio2-nfasis5"/>
        <w:tblW w:w="0" w:type="auto"/>
        <w:tblLook w:val="04A0" w:firstRow="1" w:lastRow="0" w:firstColumn="1" w:lastColumn="0" w:noHBand="0" w:noVBand="1"/>
      </w:tblPr>
      <w:tblGrid>
        <w:gridCol w:w="2935"/>
        <w:gridCol w:w="2971"/>
        <w:gridCol w:w="2950"/>
      </w:tblGrid>
      <w:tr w:rsidR="00E951ED" w:rsidRPr="00055B97" w:rsidTr="00055B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35" w:type="dxa"/>
          </w:tcPr>
          <w:p w:rsidR="00296E04" w:rsidRPr="00055B97" w:rsidRDefault="00E951ED" w:rsidP="00055B97">
            <w:pPr>
              <w:pStyle w:val="NormalWeb"/>
              <w:spacing w:before="0" w:beforeAutospacing="0" w:after="150" w:afterAutospacing="0"/>
              <w:jc w:val="both"/>
              <w:rPr>
                <w:rFonts w:ascii="Arial" w:hAnsi="Arial" w:cs="Arial"/>
                <w:b w:val="0"/>
                <w:color w:val="222222"/>
                <w:sz w:val="22"/>
                <w:szCs w:val="22"/>
                <w:lang w:val="es-BO"/>
              </w:rPr>
            </w:pPr>
            <w:r w:rsidRPr="00055B97">
              <w:rPr>
                <w:rFonts w:ascii="Arial" w:hAnsi="Arial" w:cs="Arial"/>
                <w:b w:val="0"/>
                <w:color w:val="222222"/>
                <w:sz w:val="22"/>
                <w:szCs w:val="22"/>
                <w:lang w:val="es-BO"/>
              </w:rPr>
              <w:t>CATEGORÍA</w:t>
            </w:r>
          </w:p>
        </w:tc>
        <w:tc>
          <w:tcPr>
            <w:tcW w:w="2971" w:type="dxa"/>
          </w:tcPr>
          <w:p w:rsidR="00296E04" w:rsidRPr="00055B97" w:rsidRDefault="00E951ED" w:rsidP="00055B97">
            <w:pPr>
              <w:pStyle w:val="NormalWeb"/>
              <w:spacing w:before="0" w:beforeAutospacing="0" w:after="15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222222"/>
                <w:sz w:val="22"/>
                <w:szCs w:val="22"/>
                <w:lang w:val="es-BO"/>
              </w:rPr>
            </w:pPr>
            <w:r w:rsidRPr="00055B97">
              <w:rPr>
                <w:rFonts w:ascii="Arial" w:hAnsi="Arial" w:cs="Arial"/>
                <w:b w:val="0"/>
                <w:color w:val="222222"/>
                <w:sz w:val="22"/>
                <w:szCs w:val="22"/>
                <w:lang w:val="es-BO"/>
              </w:rPr>
              <w:t>CHARAGUA IYAMBAE</w:t>
            </w:r>
          </w:p>
        </w:tc>
        <w:tc>
          <w:tcPr>
            <w:tcW w:w="2950" w:type="dxa"/>
          </w:tcPr>
          <w:p w:rsidR="00296E04" w:rsidRPr="00055B97" w:rsidRDefault="00E951ED" w:rsidP="00055B97">
            <w:pPr>
              <w:pStyle w:val="NormalWeb"/>
              <w:spacing w:before="0" w:beforeAutospacing="0" w:after="15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222222"/>
                <w:sz w:val="22"/>
                <w:szCs w:val="22"/>
                <w:lang w:val="es-BO"/>
              </w:rPr>
            </w:pPr>
            <w:r w:rsidRPr="00055B97">
              <w:rPr>
                <w:rFonts w:ascii="Arial" w:hAnsi="Arial" w:cs="Arial"/>
                <w:b w:val="0"/>
                <w:color w:val="222222"/>
                <w:sz w:val="22"/>
                <w:szCs w:val="22"/>
                <w:lang w:val="es-BO"/>
              </w:rPr>
              <w:t>URU CHIPAYA</w:t>
            </w:r>
          </w:p>
        </w:tc>
      </w:tr>
      <w:tr w:rsidR="00E951ED" w:rsidRPr="002703CB" w:rsidTr="00055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rsidR="00296E04" w:rsidRPr="00055B97" w:rsidRDefault="00E951ED" w:rsidP="00055B97">
            <w:pPr>
              <w:pStyle w:val="NormalWeb"/>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Estructura territorial</w:t>
            </w:r>
          </w:p>
        </w:tc>
        <w:tc>
          <w:tcPr>
            <w:tcW w:w="2971" w:type="dxa"/>
          </w:tcPr>
          <w:p w:rsidR="00FC745B"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Es heterogénea</w:t>
            </w:r>
            <w:r w:rsidRPr="00055B97">
              <w:rPr>
                <w:rFonts w:ascii="Arial" w:hAnsi="Arial" w:cs="Arial"/>
                <w:b/>
                <w:color w:val="222222"/>
                <w:sz w:val="22"/>
                <w:szCs w:val="22"/>
                <w:lang w:val="es-BO"/>
              </w:rPr>
              <w:t xml:space="preserve"> </w:t>
            </w:r>
            <w:r w:rsidRPr="00055B97">
              <w:rPr>
                <w:rFonts w:ascii="Arial" w:hAnsi="Arial" w:cs="Arial"/>
                <w:color w:val="222222"/>
                <w:sz w:val="22"/>
                <w:szCs w:val="22"/>
                <w:lang w:val="es-BO"/>
              </w:rPr>
              <w:t xml:space="preserve">y se prevé diferentes niveles de influencia y poder. </w:t>
            </w:r>
          </w:p>
          <w:p w:rsidR="00296E04"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Se asume qu</w:t>
            </w:r>
            <w:r w:rsidR="00E768F3" w:rsidRPr="00055B97">
              <w:rPr>
                <w:rFonts w:ascii="Arial" w:hAnsi="Arial" w:cs="Arial"/>
                <w:color w:val="222222"/>
                <w:sz w:val="22"/>
                <w:szCs w:val="22"/>
                <w:lang w:val="es-BO"/>
              </w:rPr>
              <w:t>e</w:t>
            </w:r>
            <w:r w:rsidRPr="00055B97">
              <w:rPr>
                <w:rFonts w:ascii="Arial" w:hAnsi="Arial" w:cs="Arial"/>
                <w:color w:val="222222"/>
                <w:sz w:val="22"/>
                <w:szCs w:val="22"/>
                <w:lang w:val="es-BO"/>
              </w:rPr>
              <w:t xml:space="preserve"> pese a la nueva estructura, las dificultades de distribución de recursos económicos se replicarán al igual que en los municipios</w:t>
            </w:r>
            <w:r w:rsidR="00E768F3" w:rsidRPr="00055B97">
              <w:rPr>
                <w:rFonts w:ascii="Arial" w:hAnsi="Arial" w:cs="Arial"/>
                <w:color w:val="222222"/>
                <w:sz w:val="22"/>
                <w:szCs w:val="22"/>
                <w:lang w:val="es-BO"/>
              </w:rPr>
              <w:t xml:space="preserve">. </w:t>
            </w:r>
          </w:p>
          <w:p w:rsidR="00E951ED" w:rsidRPr="00055B97" w:rsidRDefault="00FC745B" w:rsidP="00055B97">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BO"/>
              </w:rPr>
            </w:pPr>
            <w:r w:rsidRPr="00055B97">
              <w:rPr>
                <w:rFonts w:ascii="Arial" w:hAnsi="Arial" w:cs="Arial"/>
                <w:lang w:val="es-BO"/>
              </w:rPr>
              <w:t>D</w:t>
            </w:r>
            <w:r w:rsidR="00E951ED" w:rsidRPr="00055B97">
              <w:rPr>
                <w:rFonts w:ascii="Arial" w:hAnsi="Arial" w:cs="Arial"/>
                <w:lang w:val="es-BO"/>
              </w:rPr>
              <w:t>entro de sus capitanías existen organizaciones comunitarias, urbanas y 2 parques nacionales, lo que limita su administración territorial y obliga a pensar el territorio desde la articulación de diferencias.</w:t>
            </w:r>
          </w:p>
          <w:p w:rsidR="00E951ED"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p>
        </w:tc>
        <w:tc>
          <w:tcPr>
            <w:tcW w:w="2950" w:type="dxa"/>
          </w:tcPr>
          <w:p w:rsidR="00296E04"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Estructura homogénea</w:t>
            </w:r>
            <w:r w:rsidR="00FC745B" w:rsidRPr="00055B97">
              <w:rPr>
                <w:rFonts w:ascii="Arial" w:hAnsi="Arial" w:cs="Arial"/>
                <w:color w:val="222222"/>
                <w:sz w:val="22"/>
                <w:szCs w:val="22"/>
                <w:lang w:val="es-BO"/>
              </w:rPr>
              <w:t xml:space="preserve"> y </w:t>
            </w:r>
            <w:proofErr w:type="spellStart"/>
            <w:r w:rsidR="00FC745B" w:rsidRPr="00055B97">
              <w:rPr>
                <w:rFonts w:ascii="Arial" w:hAnsi="Arial" w:cs="Arial"/>
                <w:color w:val="222222"/>
                <w:sz w:val="22"/>
                <w:szCs w:val="22"/>
                <w:lang w:val="es-BO"/>
              </w:rPr>
              <w:t>milenaria.S</w:t>
            </w:r>
            <w:r w:rsidRPr="00055B97">
              <w:rPr>
                <w:rFonts w:ascii="Arial" w:hAnsi="Arial" w:cs="Arial"/>
                <w:color w:val="222222"/>
                <w:sz w:val="22"/>
                <w:szCs w:val="22"/>
                <w:lang w:val="es-BO"/>
              </w:rPr>
              <w:t>e</w:t>
            </w:r>
            <w:proofErr w:type="spellEnd"/>
            <w:r w:rsidRPr="00055B97">
              <w:rPr>
                <w:rFonts w:ascii="Arial" w:hAnsi="Arial" w:cs="Arial"/>
                <w:color w:val="222222"/>
                <w:sz w:val="22"/>
                <w:szCs w:val="22"/>
                <w:lang w:val="es-BO"/>
              </w:rPr>
              <w:t xml:space="preserve"> prevé que facilitará la gobernabilidad en la GAIOC </w:t>
            </w:r>
            <w:proofErr w:type="spellStart"/>
            <w:r w:rsidRPr="00055B97">
              <w:rPr>
                <w:rFonts w:ascii="Arial" w:hAnsi="Arial" w:cs="Arial"/>
                <w:color w:val="222222"/>
                <w:sz w:val="22"/>
                <w:szCs w:val="22"/>
                <w:lang w:val="es-BO"/>
              </w:rPr>
              <w:t>Uru</w:t>
            </w:r>
            <w:proofErr w:type="spellEnd"/>
            <w:r w:rsidRPr="00055B97">
              <w:rPr>
                <w:rFonts w:ascii="Arial" w:hAnsi="Arial" w:cs="Arial"/>
                <w:color w:val="222222"/>
                <w:sz w:val="22"/>
                <w:szCs w:val="22"/>
                <w:lang w:val="es-BO"/>
              </w:rPr>
              <w:t xml:space="preserve"> </w:t>
            </w:r>
            <w:proofErr w:type="spellStart"/>
            <w:r w:rsidRPr="00055B97">
              <w:rPr>
                <w:rFonts w:ascii="Arial" w:hAnsi="Arial" w:cs="Arial"/>
                <w:color w:val="222222"/>
                <w:sz w:val="22"/>
                <w:szCs w:val="22"/>
                <w:lang w:val="es-BO"/>
              </w:rPr>
              <w:t>Chipaya</w:t>
            </w:r>
            <w:proofErr w:type="spellEnd"/>
          </w:p>
          <w:p w:rsidR="00E951ED" w:rsidRPr="00055B97" w:rsidRDefault="00FC745B" w:rsidP="00055B97">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BO"/>
              </w:rPr>
            </w:pPr>
            <w:r w:rsidRPr="00055B97">
              <w:rPr>
                <w:rFonts w:ascii="Arial" w:hAnsi="Arial" w:cs="Arial"/>
                <w:lang w:val="es-BO"/>
              </w:rPr>
              <w:t>Está compuesta por</w:t>
            </w:r>
            <w:r w:rsidR="00E951ED" w:rsidRPr="00055B97">
              <w:rPr>
                <w:rFonts w:ascii="Arial" w:hAnsi="Arial" w:cs="Arial"/>
                <w:lang w:val="es-BO"/>
              </w:rPr>
              <w:t xml:space="preserve"> 4 ayllus con </w:t>
            </w:r>
            <w:r w:rsidRPr="00055B97">
              <w:rPr>
                <w:rFonts w:ascii="Arial" w:hAnsi="Arial" w:cs="Arial"/>
                <w:lang w:val="es-BO"/>
              </w:rPr>
              <w:t>geografías</w:t>
            </w:r>
            <w:r w:rsidR="00E951ED" w:rsidRPr="00055B97">
              <w:rPr>
                <w:rFonts w:ascii="Arial" w:hAnsi="Arial" w:cs="Arial"/>
                <w:lang w:val="es-BO"/>
              </w:rPr>
              <w:t xml:space="preserve"> similares, haciendo más fácil su organización administrativa del territorio y recursos naturales.</w:t>
            </w:r>
          </w:p>
          <w:p w:rsidR="00E951ED"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p>
        </w:tc>
      </w:tr>
      <w:tr w:rsidR="00E951ED" w:rsidRPr="002703CB" w:rsidTr="00055B97">
        <w:tc>
          <w:tcPr>
            <w:cnfStyle w:val="001000000000" w:firstRow="0" w:lastRow="0" w:firstColumn="1" w:lastColumn="0" w:oddVBand="0" w:evenVBand="0" w:oddHBand="0" w:evenHBand="0" w:firstRowFirstColumn="0" w:firstRowLastColumn="0" w:lastRowFirstColumn="0" w:lastRowLastColumn="0"/>
            <w:tcW w:w="2935" w:type="dxa"/>
          </w:tcPr>
          <w:p w:rsidR="00296E04" w:rsidRPr="00055B97" w:rsidRDefault="00E951ED" w:rsidP="00055B97">
            <w:pPr>
              <w:pStyle w:val="NormalWeb"/>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Diversidad poblacional</w:t>
            </w:r>
          </w:p>
        </w:tc>
        <w:tc>
          <w:tcPr>
            <w:tcW w:w="2971" w:type="dxa"/>
          </w:tcPr>
          <w:p w:rsidR="00E951ED" w:rsidRPr="00055B97" w:rsidRDefault="00E951ED"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Es heterogénea</w:t>
            </w:r>
            <w:r w:rsidRPr="00055B97">
              <w:rPr>
                <w:rFonts w:ascii="Arial" w:hAnsi="Arial" w:cs="Arial"/>
                <w:b/>
                <w:color w:val="222222"/>
                <w:sz w:val="22"/>
                <w:szCs w:val="22"/>
                <w:lang w:val="es-BO"/>
              </w:rPr>
              <w:t xml:space="preserve">: </w:t>
            </w:r>
            <w:r w:rsidRPr="00055B97">
              <w:rPr>
                <w:rFonts w:ascii="Arial" w:hAnsi="Arial" w:cs="Arial"/>
                <w:color w:val="222222"/>
                <w:sz w:val="22"/>
                <w:szCs w:val="22"/>
                <w:lang w:val="es-BO"/>
              </w:rPr>
              <w:t xml:space="preserve">lo cual, permite vislumbrar también diferentes niveles de requerimientos y planteamientos de </w:t>
            </w:r>
            <w:r w:rsidRPr="00055B97">
              <w:rPr>
                <w:rFonts w:ascii="Arial" w:hAnsi="Arial" w:cs="Arial"/>
                <w:color w:val="222222"/>
                <w:sz w:val="22"/>
                <w:szCs w:val="22"/>
                <w:lang w:val="es-BO"/>
              </w:rPr>
              <w:lastRenderedPageBreak/>
              <w:t>necesidades que podrían generar pugnas al momento de la distribución, sobre todo de recursos económicos.</w:t>
            </w:r>
          </w:p>
          <w:p w:rsidR="00E951ED" w:rsidRPr="00055B97" w:rsidRDefault="00FC745B"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BO"/>
              </w:rPr>
            </w:pPr>
            <w:r w:rsidRPr="00055B97">
              <w:rPr>
                <w:rFonts w:ascii="Arial" w:hAnsi="Arial" w:cs="Arial"/>
                <w:sz w:val="22"/>
                <w:szCs w:val="22"/>
                <w:lang w:val="es-BO"/>
              </w:rPr>
              <w:t>E</w:t>
            </w:r>
            <w:r w:rsidR="00E951ED" w:rsidRPr="00055B97">
              <w:rPr>
                <w:rFonts w:ascii="Arial" w:hAnsi="Arial" w:cs="Arial"/>
                <w:sz w:val="22"/>
                <w:szCs w:val="22"/>
                <w:lang w:val="es-BO"/>
              </w:rPr>
              <w:t>xiste población citadina y comunidades indígenas</w:t>
            </w:r>
            <w:r w:rsidRPr="00055B97">
              <w:rPr>
                <w:rFonts w:ascii="Arial" w:hAnsi="Arial" w:cs="Arial"/>
                <w:sz w:val="22"/>
                <w:szCs w:val="22"/>
                <w:lang w:val="es-BO"/>
              </w:rPr>
              <w:t xml:space="preserve"> rurales</w:t>
            </w:r>
            <w:r w:rsidR="00E951ED" w:rsidRPr="00055B97">
              <w:rPr>
                <w:rFonts w:ascii="Arial" w:hAnsi="Arial" w:cs="Arial"/>
                <w:sz w:val="22"/>
                <w:szCs w:val="22"/>
                <w:lang w:val="es-BO"/>
              </w:rPr>
              <w:t>, lo que implica la diferencia de id</w:t>
            </w:r>
            <w:r w:rsidRPr="00055B97">
              <w:rPr>
                <w:rFonts w:ascii="Arial" w:hAnsi="Arial" w:cs="Arial"/>
                <w:sz w:val="22"/>
                <w:szCs w:val="22"/>
                <w:lang w:val="es-BO"/>
              </w:rPr>
              <w:t>e</w:t>
            </w:r>
            <w:r w:rsidR="00E951ED" w:rsidRPr="00055B97">
              <w:rPr>
                <w:rFonts w:ascii="Arial" w:hAnsi="Arial" w:cs="Arial"/>
                <w:sz w:val="22"/>
                <w:szCs w:val="22"/>
                <w:lang w:val="es-BO"/>
              </w:rPr>
              <w:t>ologías de gobierno y dificulta su capacidad de toma de decisiones conjunta</w:t>
            </w:r>
            <w:r w:rsidRPr="00055B97">
              <w:rPr>
                <w:rFonts w:ascii="Arial" w:hAnsi="Arial" w:cs="Arial"/>
                <w:sz w:val="22"/>
                <w:szCs w:val="22"/>
                <w:lang w:val="es-BO"/>
              </w:rPr>
              <w:t>.</w:t>
            </w:r>
          </w:p>
          <w:p w:rsidR="00FC745B" w:rsidRPr="00055B97" w:rsidRDefault="00FC745B"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BO"/>
              </w:rPr>
            </w:pPr>
            <w:r w:rsidRPr="00055B97">
              <w:rPr>
                <w:rFonts w:ascii="Arial" w:hAnsi="Arial" w:cs="Arial"/>
                <w:color w:val="222222"/>
                <w:sz w:val="22"/>
                <w:szCs w:val="22"/>
                <w:lang w:val="es-BO"/>
              </w:rPr>
              <w:t>L</w:t>
            </w:r>
            <w:r w:rsidRPr="00055B97">
              <w:rPr>
                <w:rFonts w:ascii="Arial" w:hAnsi="Arial" w:cs="Arial"/>
                <w:sz w:val="22"/>
                <w:szCs w:val="22"/>
                <w:lang w:val="es-BO"/>
              </w:rPr>
              <w:t>a compleja estructura y centralizada administración podría fracturar en un territorio donde hay personas que hablan desde italiano hasta alemán pasando por el quechua y aimara.</w:t>
            </w:r>
          </w:p>
          <w:p w:rsidR="00E768F3" w:rsidRPr="00055B97" w:rsidRDefault="00E768F3"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222222"/>
                <w:sz w:val="22"/>
                <w:szCs w:val="22"/>
                <w:lang w:val="es-BO"/>
              </w:rPr>
            </w:pPr>
          </w:p>
          <w:p w:rsidR="00296E04" w:rsidRPr="00055B97" w:rsidRDefault="00296E04"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2"/>
                <w:szCs w:val="22"/>
                <w:lang w:val="es-BO"/>
              </w:rPr>
            </w:pPr>
          </w:p>
        </w:tc>
        <w:tc>
          <w:tcPr>
            <w:tcW w:w="2950" w:type="dxa"/>
          </w:tcPr>
          <w:p w:rsidR="00296E04" w:rsidRPr="00055B97" w:rsidRDefault="00E951ED"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lastRenderedPageBreak/>
              <w:t>Es homogénea y milenaria: en realidad es una etnia casi cerrada</w:t>
            </w:r>
            <w:r w:rsidR="00FC745B" w:rsidRPr="00055B97">
              <w:rPr>
                <w:rFonts w:ascii="Arial" w:hAnsi="Arial" w:cs="Arial"/>
                <w:color w:val="222222"/>
                <w:sz w:val="22"/>
                <w:szCs w:val="22"/>
                <w:lang w:val="es-BO"/>
              </w:rPr>
              <w:t>, con 2300 habitantes,</w:t>
            </w:r>
            <w:r w:rsidRPr="00055B97">
              <w:rPr>
                <w:rFonts w:ascii="Arial" w:hAnsi="Arial" w:cs="Arial"/>
                <w:color w:val="222222"/>
                <w:sz w:val="22"/>
                <w:szCs w:val="22"/>
                <w:lang w:val="es-BO"/>
              </w:rPr>
              <w:t xml:space="preserve"> cuya prevalencia de su cultura </w:t>
            </w:r>
            <w:r w:rsidRPr="00055B97">
              <w:rPr>
                <w:rFonts w:ascii="Arial" w:hAnsi="Arial" w:cs="Arial"/>
                <w:color w:val="222222"/>
                <w:sz w:val="22"/>
                <w:szCs w:val="22"/>
                <w:lang w:val="es-BO"/>
              </w:rPr>
              <w:lastRenderedPageBreak/>
              <w:t>ha logrado sobreponerse a la influencia occidental. Es posible que facilite en gran medida su gobernabilidad.</w:t>
            </w:r>
          </w:p>
          <w:p w:rsidR="00FC745B" w:rsidRPr="00055B97" w:rsidRDefault="00FC745B" w:rsidP="00055B9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r w:rsidRPr="00055B97">
              <w:rPr>
                <w:rFonts w:ascii="Arial" w:hAnsi="Arial" w:cs="Arial"/>
                <w:lang w:val="es-BO"/>
              </w:rPr>
              <w:t>Tiene altos grados de emigración y esa podría ser una dificultad para sostener el autogobierno en el tiempo, pero su estructura es menos vulnerable porque es algo con el que han convivido desde siempre.</w:t>
            </w:r>
          </w:p>
          <w:p w:rsidR="00E768F3" w:rsidRPr="00055B97" w:rsidRDefault="00E768F3"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2"/>
                <w:szCs w:val="22"/>
                <w:lang w:val="es-BO"/>
              </w:rPr>
            </w:pPr>
          </w:p>
        </w:tc>
      </w:tr>
      <w:tr w:rsidR="00E951ED" w:rsidRPr="002703CB" w:rsidTr="00055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rsidR="00296E04" w:rsidRPr="00055B97" w:rsidRDefault="00E951ED" w:rsidP="00055B97">
            <w:pPr>
              <w:pStyle w:val="NormalWeb"/>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lastRenderedPageBreak/>
              <w:t>Ubicación regional</w:t>
            </w:r>
          </w:p>
        </w:tc>
        <w:tc>
          <w:tcPr>
            <w:tcW w:w="2971" w:type="dxa"/>
          </w:tcPr>
          <w:p w:rsidR="00296E04"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Tierras bajas</w:t>
            </w:r>
            <w:r w:rsidRPr="00055B97">
              <w:rPr>
                <w:rFonts w:ascii="Arial" w:hAnsi="Arial" w:cs="Arial"/>
                <w:b/>
                <w:color w:val="222222"/>
                <w:sz w:val="22"/>
                <w:szCs w:val="22"/>
                <w:lang w:val="es-BO"/>
              </w:rPr>
              <w:t>:</w:t>
            </w:r>
            <w:r w:rsidRPr="00055B97">
              <w:rPr>
                <w:rFonts w:ascii="Arial" w:hAnsi="Arial" w:cs="Arial"/>
                <w:color w:val="222222"/>
                <w:sz w:val="22"/>
                <w:szCs w:val="22"/>
                <w:lang w:val="es-BO"/>
              </w:rPr>
              <w:t xml:space="preserve"> son poblaciones pequeñas y con gran influencia de gente externa como los menonitas, por un lado, puede esta influencia favorecer las propuestas de desarrollo de la autonomía indígena, sin embargo, también puede camuflar visiones occidentales</w:t>
            </w:r>
          </w:p>
        </w:tc>
        <w:tc>
          <w:tcPr>
            <w:tcW w:w="2950" w:type="dxa"/>
          </w:tcPr>
          <w:p w:rsidR="00E951ED"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Tierras altas: con grandes desafíos agroclimáticos. Los últimos años la sequía ha tenido una gran influencia en la migración sobre todo de los jóvenes y razón por la cual, su población total no ha registrado crecimiento significativo.</w:t>
            </w:r>
          </w:p>
          <w:p w:rsidR="00296E04"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Se puede vislumbrar que al ser una etnia casi cerrada las propuestas y necesidades de los ayllus que la conforman sean atendidas con mayor justicia.</w:t>
            </w:r>
          </w:p>
        </w:tc>
      </w:tr>
      <w:tr w:rsidR="00E951ED" w:rsidRPr="002703CB" w:rsidTr="00055B97">
        <w:tc>
          <w:tcPr>
            <w:cnfStyle w:val="001000000000" w:firstRow="0" w:lastRow="0" w:firstColumn="1" w:lastColumn="0" w:oddVBand="0" w:evenVBand="0" w:oddHBand="0" w:evenHBand="0" w:firstRowFirstColumn="0" w:firstRowLastColumn="0" w:lastRowFirstColumn="0" w:lastRowLastColumn="0"/>
            <w:tcW w:w="2935" w:type="dxa"/>
          </w:tcPr>
          <w:p w:rsidR="00296E04" w:rsidRPr="00055B97" w:rsidRDefault="00E951ED" w:rsidP="00055B97">
            <w:pPr>
              <w:pStyle w:val="NormalWeb"/>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Manejo de los recursos económicos</w:t>
            </w:r>
          </w:p>
        </w:tc>
        <w:tc>
          <w:tcPr>
            <w:tcW w:w="2971" w:type="dxa"/>
          </w:tcPr>
          <w:p w:rsidR="00296E04" w:rsidRPr="00055B97" w:rsidRDefault="00E951ED"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Órgano ejecutivo descentralizado: Si bien existen criterios de distribución de los recursos económicos, se prevé que pueda existir disputas entre zonas.</w:t>
            </w:r>
          </w:p>
          <w:p w:rsidR="00E951ED" w:rsidRPr="00055B97" w:rsidRDefault="00E951ED"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2"/>
                <w:szCs w:val="22"/>
                <w:lang w:val="es-BO"/>
              </w:rPr>
            </w:pPr>
            <w:r w:rsidRPr="00055B97">
              <w:rPr>
                <w:rFonts w:ascii="Arial" w:hAnsi="Arial" w:cs="Arial"/>
                <w:sz w:val="22"/>
                <w:szCs w:val="22"/>
                <w:lang w:val="es-BO"/>
              </w:rPr>
              <w:lastRenderedPageBreak/>
              <w:t>Ejecución Presupuestaria: no se logró ejecutar el mínimo presupuestario de 92%, pero sí se llegó al 87%, lo que denota el potencial de ejecución y administración de esta AIOC y no representa una dificultad</w:t>
            </w:r>
            <w:r w:rsidR="00FC745B" w:rsidRPr="00055B97">
              <w:rPr>
                <w:rFonts w:ascii="Arial" w:hAnsi="Arial" w:cs="Arial"/>
                <w:sz w:val="22"/>
                <w:szCs w:val="22"/>
                <w:lang w:val="es-BO"/>
              </w:rPr>
              <w:t xml:space="preserve"> interna</w:t>
            </w:r>
            <w:r w:rsidRPr="00055B97">
              <w:rPr>
                <w:rFonts w:ascii="Arial" w:hAnsi="Arial" w:cs="Arial"/>
                <w:sz w:val="22"/>
                <w:szCs w:val="22"/>
                <w:lang w:val="es-BO"/>
              </w:rPr>
              <w:t xml:space="preserve"> muy grande</w:t>
            </w:r>
            <w:r w:rsidR="00FC745B" w:rsidRPr="00055B97">
              <w:rPr>
                <w:rFonts w:ascii="Arial" w:hAnsi="Arial" w:cs="Arial"/>
                <w:sz w:val="22"/>
                <w:szCs w:val="22"/>
                <w:lang w:val="es-BO"/>
              </w:rPr>
              <w:t xml:space="preserve"> a futuro.</w:t>
            </w:r>
          </w:p>
        </w:tc>
        <w:tc>
          <w:tcPr>
            <w:tcW w:w="2950" w:type="dxa"/>
          </w:tcPr>
          <w:p w:rsidR="00296E04" w:rsidRPr="00055B97" w:rsidRDefault="00E951ED"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lastRenderedPageBreak/>
              <w:t>Órgano ejecutivo centralizado</w:t>
            </w:r>
            <w:r w:rsidRPr="00055B97">
              <w:rPr>
                <w:rFonts w:ascii="Arial" w:hAnsi="Arial" w:cs="Arial"/>
                <w:b/>
                <w:color w:val="222222"/>
                <w:sz w:val="22"/>
                <w:szCs w:val="22"/>
                <w:lang w:val="es-BO"/>
              </w:rPr>
              <w:t>:</w:t>
            </w:r>
            <w:r w:rsidRPr="00055B97">
              <w:rPr>
                <w:rFonts w:ascii="Arial" w:hAnsi="Arial" w:cs="Arial"/>
                <w:color w:val="222222"/>
                <w:sz w:val="22"/>
                <w:szCs w:val="22"/>
                <w:lang w:val="es-BO"/>
              </w:rPr>
              <w:t xml:space="preserve"> podría facilitar una mejor y justa distribución de los recursos económicos para sus ayllus.</w:t>
            </w:r>
          </w:p>
          <w:p w:rsidR="00E951ED" w:rsidRPr="00055B97" w:rsidRDefault="00E951ED"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2"/>
                <w:szCs w:val="22"/>
                <w:lang w:val="es-BO"/>
              </w:rPr>
            </w:pPr>
            <w:r w:rsidRPr="00055B97">
              <w:rPr>
                <w:rFonts w:ascii="Arial" w:hAnsi="Arial" w:cs="Arial"/>
                <w:sz w:val="22"/>
                <w:szCs w:val="22"/>
                <w:lang w:val="es-BO"/>
              </w:rPr>
              <w:t xml:space="preserve">Ejecución Presupuestaria: </w:t>
            </w:r>
            <w:r w:rsidRPr="00055B97">
              <w:rPr>
                <w:rFonts w:ascii="Arial" w:hAnsi="Arial" w:cs="Arial"/>
                <w:sz w:val="22"/>
                <w:szCs w:val="22"/>
                <w:lang w:val="es-BO"/>
              </w:rPr>
              <w:lastRenderedPageBreak/>
              <w:t>el ejecutivo es la persona que administra los recursos del Estado. La dificultad de esto es la base de la confianza y legitimidad sobre el ejecutivo, que a su</w:t>
            </w:r>
            <w:r w:rsidR="00FC745B" w:rsidRPr="00055B97">
              <w:rPr>
                <w:rFonts w:ascii="Arial" w:hAnsi="Arial" w:cs="Arial"/>
                <w:sz w:val="22"/>
                <w:szCs w:val="22"/>
                <w:lang w:val="es-BO"/>
              </w:rPr>
              <w:t xml:space="preserve"> vez tiene un poder </w:t>
            </w:r>
            <w:proofErr w:type="spellStart"/>
            <w:r w:rsidR="00FC745B" w:rsidRPr="00055B97">
              <w:rPr>
                <w:rFonts w:ascii="Arial" w:hAnsi="Arial" w:cs="Arial"/>
                <w:sz w:val="22"/>
                <w:szCs w:val="22"/>
                <w:lang w:val="es-BO"/>
              </w:rPr>
              <w:t>corrompible</w:t>
            </w:r>
            <w:proofErr w:type="spellEnd"/>
            <w:r w:rsidR="00FC745B" w:rsidRPr="00055B97">
              <w:rPr>
                <w:rFonts w:ascii="Arial" w:hAnsi="Arial" w:cs="Arial"/>
                <w:sz w:val="22"/>
                <w:szCs w:val="22"/>
                <w:lang w:val="es-BO"/>
              </w:rPr>
              <w:t>; por lo que debe transparentar la ejecución de recursos.</w:t>
            </w:r>
          </w:p>
        </w:tc>
      </w:tr>
      <w:tr w:rsidR="00E951ED" w:rsidRPr="002703CB" w:rsidTr="00055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rsidR="00296E04" w:rsidRPr="00055B97" w:rsidRDefault="00E951ED" w:rsidP="00055B97">
            <w:pPr>
              <w:pStyle w:val="NormalWeb"/>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lastRenderedPageBreak/>
              <w:t>Órgano legislativo</w:t>
            </w:r>
          </w:p>
        </w:tc>
        <w:tc>
          <w:tcPr>
            <w:tcW w:w="2971" w:type="dxa"/>
          </w:tcPr>
          <w:p w:rsidR="00296E04"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Tiempo de vigencia de sus miembros</w:t>
            </w:r>
            <w:r w:rsidRPr="00055B97">
              <w:rPr>
                <w:rFonts w:ascii="Arial" w:hAnsi="Arial" w:cs="Arial"/>
                <w:b/>
                <w:color w:val="222222"/>
                <w:sz w:val="22"/>
                <w:szCs w:val="22"/>
                <w:lang w:val="es-BO"/>
              </w:rPr>
              <w:t>:</w:t>
            </w:r>
            <w:r w:rsidRPr="00055B97">
              <w:rPr>
                <w:rFonts w:ascii="Arial" w:hAnsi="Arial" w:cs="Arial"/>
                <w:color w:val="222222"/>
                <w:sz w:val="22"/>
                <w:szCs w:val="22"/>
                <w:lang w:val="es-BO"/>
              </w:rPr>
              <w:t xml:space="preserve"> Los tiempos de ejercicio, parecen adecuados, pero solo su funcionamiento permitirá ver si las zonas con población “urbana” y las zonas con las capitanías guaraníes se corresponderán, en su ejercicio.</w:t>
            </w:r>
          </w:p>
        </w:tc>
        <w:tc>
          <w:tcPr>
            <w:tcW w:w="2950" w:type="dxa"/>
          </w:tcPr>
          <w:p w:rsidR="00296E04"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 xml:space="preserve">Tiempo de vigencia de sus miembros: se prevé dificultades en el ejercicio de las autoridades electas y designadas (mixto) ya que puede dificultar la continuidad de proyectos y acciones en cada ayllu, sobre todo por la rotación de las autoridades designadas. Este es un problema identificado en la nación </w:t>
            </w:r>
            <w:proofErr w:type="spellStart"/>
            <w:r w:rsidRPr="00055B97">
              <w:rPr>
                <w:rFonts w:ascii="Arial" w:hAnsi="Arial" w:cs="Arial"/>
                <w:color w:val="222222"/>
                <w:sz w:val="22"/>
                <w:szCs w:val="22"/>
                <w:lang w:val="es-BO"/>
              </w:rPr>
              <w:t>Jacha</w:t>
            </w:r>
            <w:proofErr w:type="spellEnd"/>
            <w:r w:rsidRPr="00055B97">
              <w:rPr>
                <w:rFonts w:ascii="Arial" w:hAnsi="Arial" w:cs="Arial"/>
                <w:color w:val="222222"/>
                <w:sz w:val="22"/>
                <w:szCs w:val="22"/>
                <w:lang w:val="es-BO"/>
              </w:rPr>
              <w:t xml:space="preserve"> </w:t>
            </w:r>
            <w:proofErr w:type="spellStart"/>
            <w:r w:rsidRPr="00055B97">
              <w:rPr>
                <w:rFonts w:ascii="Arial" w:hAnsi="Arial" w:cs="Arial"/>
                <w:color w:val="222222"/>
                <w:sz w:val="22"/>
                <w:szCs w:val="22"/>
                <w:lang w:val="es-BO"/>
              </w:rPr>
              <w:t>Karangas</w:t>
            </w:r>
            <w:proofErr w:type="spellEnd"/>
            <w:r w:rsidRPr="00055B97">
              <w:rPr>
                <w:rFonts w:ascii="Arial" w:hAnsi="Arial" w:cs="Arial"/>
                <w:color w:val="222222"/>
                <w:sz w:val="22"/>
                <w:szCs w:val="22"/>
                <w:lang w:val="es-BO"/>
              </w:rPr>
              <w:t>.</w:t>
            </w:r>
          </w:p>
        </w:tc>
      </w:tr>
      <w:tr w:rsidR="00E951ED" w:rsidRPr="002703CB" w:rsidTr="00055B97">
        <w:tc>
          <w:tcPr>
            <w:cnfStyle w:val="001000000000" w:firstRow="0" w:lastRow="0" w:firstColumn="1" w:lastColumn="0" w:oddVBand="0" w:evenVBand="0" w:oddHBand="0" w:evenHBand="0" w:firstRowFirstColumn="0" w:firstRowLastColumn="0" w:lastRowFirstColumn="0" w:lastRowLastColumn="0"/>
            <w:tcW w:w="2935" w:type="dxa"/>
          </w:tcPr>
          <w:p w:rsidR="00E951ED" w:rsidRPr="00055B97" w:rsidRDefault="00E951ED" w:rsidP="00055B97">
            <w:pPr>
              <w:pStyle w:val="NormalWeb"/>
              <w:spacing w:before="0" w:beforeAutospacing="0" w:after="150" w:afterAutospacing="0"/>
              <w:jc w:val="both"/>
              <w:rPr>
                <w:rFonts w:ascii="Arial" w:hAnsi="Arial" w:cs="Arial"/>
                <w:b w:val="0"/>
                <w:color w:val="222222"/>
                <w:sz w:val="22"/>
                <w:szCs w:val="22"/>
                <w:lang w:val="es-BO"/>
              </w:rPr>
            </w:pPr>
            <w:r w:rsidRPr="00055B97">
              <w:rPr>
                <w:rFonts w:ascii="Arial" w:hAnsi="Arial" w:cs="Arial"/>
                <w:b w:val="0"/>
                <w:color w:val="222222"/>
                <w:sz w:val="22"/>
                <w:szCs w:val="22"/>
                <w:lang w:val="es-BO"/>
              </w:rPr>
              <w:t>Estructura de Gobierno</w:t>
            </w:r>
          </w:p>
        </w:tc>
        <w:tc>
          <w:tcPr>
            <w:tcW w:w="2971" w:type="dxa"/>
          </w:tcPr>
          <w:p w:rsidR="00FC745B" w:rsidRPr="00FC745B" w:rsidRDefault="00FC745B" w:rsidP="00055B9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r w:rsidRPr="00055B97">
              <w:rPr>
                <w:rFonts w:ascii="Arial" w:eastAsia="Times New Roman" w:hAnsi="Arial" w:cs="Arial"/>
                <w:color w:val="222222"/>
                <w:lang w:val="es-BO"/>
              </w:rPr>
              <w:t>S</w:t>
            </w:r>
            <w:r w:rsidRPr="00FC745B">
              <w:rPr>
                <w:rFonts w:ascii="Arial" w:eastAsia="Times New Roman" w:hAnsi="Arial" w:cs="Arial"/>
                <w:color w:val="222222"/>
                <w:lang w:val="es-BO"/>
              </w:rPr>
              <w:t xml:space="preserve">e compone de cuatro capitanías, </w:t>
            </w:r>
            <w:r w:rsidRPr="00055B97">
              <w:rPr>
                <w:rFonts w:ascii="Arial" w:eastAsia="Times New Roman" w:hAnsi="Arial" w:cs="Arial"/>
                <w:color w:val="222222"/>
                <w:lang w:val="es-BO"/>
              </w:rPr>
              <w:t xml:space="preserve">que </w:t>
            </w:r>
            <w:r w:rsidRPr="00FC745B">
              <w:rPr>
                <w:rFonts w:ascii="Arial" w:eastAsia="Times New Roman" w:hAnsi="Arial" w:cs="Arial"/>
                <w:color w:val="222222"/>
                <w:lang w:val="es-BO"/>
              </w:rPr>
              <w:t>tienen una estructura de Gobierno con sus propios principios, deberes, valores y cultura.  En ese sentido,  la organización interna entre capitanías se dificulta por ideologías e intereses particulares de cada uno de los integrantes de los ayllus.</w:t>
            </w:r>
          </w:p>
          <w:p w:rsidR="00E951ED" w:rsidRPr="00055B97" w:rsidRDefault="008D1C5E" w:rsidP="00055B9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r w:rsidRPr="00055B97">
              <w:rPr>
                <w:rFonts w:ascii="Arial" w:hAnsi="Arial" w:cs="Arial"/>
                <w:lang w:val="es-BO"/>
              </w:rPr>
              <w:t>U</w:t>
            </w:r>
            <w:r w:rsidR="00E951ED" w:rsidRPr="00055B97">
              <w:rPr>
                <w:rFonts w:ascii="Arial" w:hAnsi="Arial" w:cs="Arial"/>
                <w:lang w:val="es-BO"/>
              </w:rPr>
              <w:t xml:space="preserve">na dificultad </w:t>
            </w:r>
            <w:r w:rsidRPr="00055B97">
              <w:rPr>
                <w:rFonts w:ascii="Arial" w:hAnsi="Arial" w:cs="Arial"/>
                <w:lang w:val="es-BO"/>
              </w:rPr>
              <w:t>posible</w:t>
            </w:r>
            <w:r w:rsidR="00E951ED" w:rsidRPr="00055B97">
              <w:rPr>
                <w:rFonts w:ascii="Arial" w:hAnsi="Arial" w:cs="Arial"/>
                <w:lang w:val="es-BO"/>
              </w:rPr>
              <w:t xml:space="preserve"> es que su sistema descentralizado tiene un representante administrativo ante el órgano ejecutivo, lo que pres</w:t>
            </w:r>
            <w:r w:rsidRPr="00055B97">
              <w:rPr>
                <w:rFonts w:ascii="Arial" w:hAnsi="Arial" w:cs="Arial"/>
                <w:lang w:val="es-BO"/>
              </w:rPr>
              <w:t>enta dificultades</w:t>
            </w:r>
            <w:r w:rsidR="00E951ED" w:rsidRPr="00055B97">
              <w:rPr>
                <w:rFonts w:ascii="Arial" w:hAnsi="Arial" w:cs="Arial"/>
                <w:lang w:val="es-BO"/>
              </w:rPr>
              <w:t xml:space="preserve"> en el control social que se le pueda hacer a este representante; además de </w:t>
            </w:r>
            <w:r w:rsidR="00E951ED" w:rsidRPr="00055B97">
              <w:rPr>
                <w:rFonts w:ascii="Arial" w:hAnsi="Arial" w:cs="Arial"/>
                <w:lang w:val="es-BO"/>
              </w:rPr>
              <w:lastRenderedPageBreak/>
              <w:t>lo</w:t>
            </w:r>
            <w:r w:rsidRPr="00055B97">
              <w:rPr>
                <w:rFonts w:ascii="Arial" w:hAnsi="Arial" w:cs="Arial"/>
                <w:lang w:val="es-BO"/>
              </w:rPr>
              <w:t>s posibles conflictos que pueda</w:t>
            </w:r>
            <w:r w:rsidR="00E951ED" w:rsidRPr="00055B97">
              <w:rPr>
                <w:rFonts w:ascii="Arial" w:hAnsi="Arial" w:cs="Arial"/>
                <w:lang w:val="es-BO"/>
              </w:rPr>
              <w:t xml:space="preserve"> haber </w:t>
            </w:r>
            <w:r w:rsidRPr="00055B97">
              <w:rPr>
                <w:rFonts w:ascii="Arial" w:hAnsi="Arial" w:cs="Arial"/>
                <w:lang w:val="es-BO"/>
              </w:rPr>
              <w:t>con otras autoridades de la</w:t>
            </w:r>
            <w:r w:rsidR="00E951ED" w:rsidRPr="00055B97">
              <w:rPr>
                <w:rFonts w:ascii="Arial" w:hAnsi="Arial" w:cs="Arial"/>
                <w:lang w:val="es-BO"/>
              </w:rPr>
              <w:t xml:space="preserve"> AIOC</w:t>
            </w:r>
            <w:r w:rsidRPr="00055B97">
              <w:rPr>
                <w:rFonts w:ascii="Arial" w:hAnsi="Arial" w:cs="Arial"/>
                <w:lang w:val="es-BO"/>
              </w:rPr>
              <w:t>.</w:t>
            </w:r>
          </w:p>
          <w:p w:rsidR="00E951ED" w:rsidRPr="00055B97" w:rsidRDefault="008D1C5E" w:rsidP="00055B9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lang w:val="es-BO"/>
              </w:rPr>
            </w:pPr>
            <w:r w:rsidRPr="00055B97">
              <w:rPr>
                <w:rFonts w:ascii="Arial" w:eastAsia="Times New Roman" w:hAnsi="Arial" w:cs="Arial"/>
                <w:color w:val="222222"/>
                <w:lang w:val="es-BO"/>
              </w:rPr>
              <w:t>U</w:t>
            </w:r>
            <w:r w:rsidR="00E951ED" w:rsidRPr="00055B97">
              <w:rPr>
                <w:rFonts w:ascii="Arial" w:eastAsia="Times New Roman" w:hAnsi="Arial" w:cs="Arial"/>
                <w:color w:val="222222"/>
                <w:lang w:val="es-BO"/>
              </w:rPr>
              <w:t xml:space="preserve">na de las dificultades de </w:t>
            </w:r>
            <w:proofErr w:type="spellStart"/>
            <w:r w:rsidR="00E951ED" w:rsidRPr="00055B97">
              <w:rPr>
                <w:rFonts w:ascii="Arial" w:eastAsia="Times New Roman" w:hAnsi="Arial" w:cs="Arial"/>
                <w:color w:val="222222"/>
                <w:lang w:val="es-BO"/>
              </w:rPr>
              <w:t>Charagua</w:t>
            </w:r>
            <w:proofErr w:type="spellEnd"/>
            <w:r w:rsidR="00E951ED" w:rsidRPr="00055B97">
              <w:rPr>
                <w:rFonts w:ascii="Arial" w:eastAsia="Times New Roman" w:hAnsi="Arial" w:cs="Arial"/>
                <w:color w:val="222222"/>
                <w:lang w:val="es-BO"/>
              </w:rPr>
              <w:t xml:space="preserve"> </w:t>
            </w:r>
            <w:proofErr w:type="spellStart"/>
            <w:r w:rsidR="00E951ED" w:rsidRPr="00055B97">
              <w:rPr>
                <w:rFonts w:ascii="Arial" w:eastAsia="Times New Roman" w:hAnsi="Arial" w:cs="Arial"/>
                <w:color w:val="222222"/>
                <w:lang w:val="es-BO"/>
              </w:rPr>
              <w:t>Iyambae</w:t>
            </w:r>
            <w:proofErr w:type="spellEnd"/>
            <w:r w:rsidR="00E951ED" w:rsidRPr="00055B97">
              <w:rPr>
                <w:rFonts w:ascii="Arial" w:eastAsia="Times New Roman" w:hAnsi="Arial" w:cs="Arial"/>
                <w:color w:val="222222"/>
                <w:lang w:val="es-BO"/>
              </w:rPr>
              <w:t>, está centrado en la aplicación del </w:t>
            </w:r>
            <w:r w:rsidR="00E951ED" w:rsidRPr="00055B97">
              <w:rPr>
                <w:rFonts w:ascii="Arial" w:eastAsia="Times New Roman" w:hAnsi="Arial" w:cs="Arial"/>
                <w:b/>
                <w:bCs/>
                <w:color w:val="222222"/>
                <w:lang w:val="es-BO"/>
              </w:rPr>
              <w:t>sistema descentralizado cerrado al sistema administrativo</w:t>
            </w:r>
            <w:r w:rsidR="00E951ED" w:rsidRPr="00055B97">
              <w:rPr>
                <w:rFonts w:ascii="Arial" w:eastAsia="Times New Roman" w:hAnsi="Arial" w:cs="Arial"/>
                <w:color w:val="222222"/>
                <w:lang w:val="es-BO"/>
              </w:rPr>
              <w:t> del gobierno autónomo, esto debido a la organización de administración en función a la organización territorial.</w:t>
            </w:r>
          </w:p>
          <w:p w:rsidR="00E768F3" w:rsidRPr="00055B97" w:rsidRDefault="00E768F3" w:rsidP="00055B9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u w:val="single"/>
                <w:lang w:val="es-BO"/>
              </w:rPr>
            </w:pPr>
            <w:proofErr w:type="spellStart"/>
            <w:r w:rsidRPr="00055B97">
              <w:rPr>
                <w:rFonts w:ascii="Arial" w:eastAsia="Times New Roman" w:hAnsi="Arial" w:cs="Arial"/>
                <w:color w:val="222222"/>
                <w:lang w:val="es-BO"/>
              </w:rPr>
              <w:t>Charagua</w:t>
            </w:r>
            <w:proofErr w:type="spellEnd"/>
            <w:r w:rsidRPr="00055B97">
              <w:rPr>
                <w:rFonts w:ascii="Arial" w:eastAsia="Times New Roman" w:hAnsi="Arial" w:cs="Arial"/>
                <w:color w:val="222222"/>
                <w:lang w:val="es-BO"/>
              </w:rPr>
              <w:t xml:space="preserve"> </w:t>
            </w:r>
            <w:proofErr w:type="spellStart"/>
            <w:r w:rsidRPr="00055B97">
              <w:rPr>
                <w:rFonts w:ascii="Arial" w:eastAsia="Times New Roman" w:hAnsi="Arial" w:cs="Arial"/>
                <w:color w:val="222222"/>
                <w:lang w:val="es-BO"/>
              </w:rPr>
              <w:t>Iyambae</w:t>
            </w:r>
            <w:proofErr w:type="spellEnd"/>
            <w:r w:rsidRPr="00055B97">
              <w:rPr>
                <w:rFonts w:ascii="Arial" w:eastAsia="Times New Roman" w:hAnsi="Arial" w:cs="Arial"/>
                <w:color w:val="222222"/>
                <w:lang w:val="es-BO"/>
              </w:rPr>
              <w:t xml:space="preserve"> se limita a no contar con las normativas administrativas propias para su implementación plena, entonces la estructura de gobierno autónomo siente vacíos jurídicos, de la misma manera la Nación </w:t>
            </w:r>
            <w:proofErr w:type="spellStart"/>
            <w:r w:rsidRPr="00055B97">
              <w:rPr>
                <w:rFonts w:ascii="Arial" w:eastAsia="Times New Roman" w:hAnsi="Arial" w:cs="Arial"/>
                <w:color w:val="222222"/>
                <w:lang w:val="es-BO"/>
              </w:rPr>
              <w:t>Uru</w:t>
            </w:r>
            <w:proofErr w:type="spellEnd"/>
            <w:r w:rsidRPr="00055B97">
              <w:rPr>
                <w:rFonts w:ascii="Arial" w:eastAsia="Times New Roman" w:hAnsi="Arial" w:cs="Arial"/>
                <w:color w:val="222222"/>
                <w:lang w:val="es-BO"/>
              </w:rPr>
              <w:t xml:space="preserve"> </w:t>
            </w:r>
            <w:proofErr w:type="spellStart"/>
            <w:r w:rsidRPr="00055B97">
              <w:rPr>
                <w:rFonts w:ascii="Arial" w:eastAsia="Times New Roman" w:hAnsi="Arial" w:cs="Arial"/>
                <w:color w:val="222222"/>
                <w:lang w:val="es-BO"/>
              </w:rPr>
              <w:t>Chipaya</w:t>
            </w:r>
            <w:proofErr w:type="spellEnd"/>
            <w:r w:rsidRPr="00055B97">
              <w:rPr>
                <w:rFonts w:ascii="Arial" w:eastAsia="Times New Roman" w:hAnsi="Arial" w:cs="Arial"/>
                <w:color w:val="222222"/>
                <w:lang w:val="es-BO"/>
              </w:rPr>
              <w:t>. Esto, se puede apreciar, en la formulación de presupuesto y la planificación participativa desde abajo hacia arriba para realizar las Programaciones Operativas Anuales.</w:t>
            </w:r>
          </w:p>
          <w:p w:rsidR="00E768F3" w:rsidRPr="00055B97" w:rsidRDefault="00E768F3" w:rsidP="00055B9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u w:val="single"/>
                <w:lang w:val="es-BO"/>
              </w:rPr>
            </w:pPr>
          </w:p>
        </w:tc>
        <w:tc>
          <w:tcPr>
            <w:tcW w:w="2950" w:type="dxa"/>
          </w:tcPr>
          <w:p w:rsidR="008D1C5E" w:rsidRPr="00055B97" w:rsidRDefault="008D1C5E" w:rsidP="00055B9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r w:rsidRPr="00055B97">
              <w:rPr>
                <w:rFonts w:ascii="Arial" w:hAnsi="Arial" w:cs="Arial"/>
                <w:lang w:val="es-BO"/>
              </w:rPr>
              <w:lastRenderedPageBreak/>
              <w:t>Forma de gobierno centralizada en una asamblea como instancia máxima de decisión, conformada por 2 representantes de cada ayllu por 4 años; además de instancia legislativa, por 1 año. En ambos casos se elige por rotación de cargos.</w:t>
            </w:r>
          </w:p>
          <w:p w:rsidR="008D1C5E" w:rsidRPr="00055B97" w:rsidRDefault="008D1C5E" w:rsidP="00055B9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r w:rsidRPr="00055B97">
              <w:rPr>
                <w:rFonts w:ascii="Arial" w:eastAsia="Times New Roman" w:hAnsi="Arial" w:cs="Arial"/>
                <w:color w:val="222222"/>
                <w:lang w:val="es-BO"/>
              </w:rPr>
              <w:t>Por lo tanto, tendrá una sola administración a cargo de una máxima autoridad administrativa, lo que puede presentar dificultades, porque se podría volver a caer en la centralización del poder y de la toma de decisiones.</w:t>
            </w:r>
          </w:p>
          <w:p w:rsidR="008D1C5E" w:rsidRPr="00055B97" w:rsidRDefault="008D1C5E" w:rsidP="00055B9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p>
          <w:p w:rsidR="00E951ED" w:rsidRPr="00055B97" w:rsidRDefault="00E951ED" w:rsidP="00055B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lang w:val="es-BO"/>
              </w:rPr>
            </w:pPr>
            <w:r w:rsidRPr="00055B97">
              <w:rPr>
                <w:rFonts w:ascii="Arial" w:eastAsia="Times New Roman" w:hAnsi="Arial" w:cs="Arial"/>
                <w:color w:val="222222"/>
                <w:lang w:val="es-BO"/>
              </w:rPr>
              <w:t xml:space="preserve">Es innovador el mecanismo de “rotación de cargos” de la nación  </w:t>
            </w:r>
            <w:proofErr w:type="spellStart"/>
            <w:r w:rsidRPr="00055B97">
              <w:rPr>
                <w:rFonts w:ascii="Arial" w:eastAsia="Times New Roman" w:hAnsi="Arial" w:cs="Arial"/>
                <w:color w:val="222222"/>
                <w:lang w:val="es-BO"/>
              </w:rPr>
              <w:t>Uru</w:t>
            </w:r>
            <w:proofErr w:type="spellEnd"/>
            <w:r w:rsidRPr="00055B97">
              <w:rPr>
                <w:rFonts w:ascii="Arial" w:eastAsia="Times New Roman" w:hAnsi="Arial" w:cs="Arial"/>
                <w:color w:val="222222"/>
                <w:lang w:val="es-BO"/>
              </w:rPr>
              <w:t xml:space="preserve"> </w:t>
            </w:r>
            <w:proofErr w:type="spellStart"/>
            <w:r w:rsidRPr="00055B97">
              <w:rPr>
                <w:rFonts w:ascii="Arial" w:eastAsia="Times New Roman" w:hAnsi="Arial" w:cs="Arial"/>
                <w:color w:val="222222"/>
                <w:lang w:val="es-BO"/>
              </w:rPr>
              <w:t>Chiapaya</w:t>
            </w:r>
            <w:proofErr w:type="spellEnd"/>
            <w:r w:rsidRPr="00055B97">
              <w:rPr>
                <w:rFonts w:ascii="Arial" w:eastAsia="Times New Roman" w:hAnsi="Arial" w:cs="Arial"/>
                <w:color w:val="222222"/>
                <w:lang w:val="es-BO"/>
              </w:rPr>
              <w:t xml:space="preserve"> y el cargo de autoridades naturales que responda a 1 </w:t>
            </w:r>
            <w:r w:rsidRPr="00055B97">
              <w:rPr>
                <w:rFonts w:ascii="Arial" w:eastAsia="Times New Roman" w:hAnsi="Arial" w:cs="Arial"/>
                <w:color w:val="222222"/>
                <w:lang w:val="es-BO"/>
              </w:rPr>
              <w:lastRenderedPageBreak/>
              <w:t>año como servicio comunitario. Sin embargo, el tiempo</w:t>
            </w:r>
            <w:r w:rsidR="008D1C5E" w:rsidRPr="00055B97">
              <w:rPr>
                <w:rFonts w:ascii="Arial" w:eastAsia="Times New Roman" w:hAnsi="Arial" w:cs="Arial"/>
                <w:color w:val="222222"/>
                <w:lang w:val="es-BO"/>
              </w:rPr>
              <w:t xml:space="preserve"> es muy corto</w:t>
            </w:r>
            <w:r w:rsidRPr="00055B97">
              <w:rPr>
                <w:rFonts w:ascii="Arial" w:eastAsia="Times New Roman" w:hAnsi="Arial" w:cs="Arial"/>
                <w:color w:val="222222"/>
                <w:lang w:val="es-BO"/>
              </w:rPr>
              <w:t xml:space="preserve"> (1 año) para la transferencia de conocimientos a otros representantes e incluso  a</w:t>
            </w:r>
            <w:r w:rsidR="008D1C5E" w:rsidRPr="00055B97">
              <w:rPr>
                <w:rFonts w:ascii="Arial" w:eastAsia="Times New Roman" w:hAnsi="Arial" w:cs="Arial"/>
                <w:color w:val="222222"/>
                <w:lang w:val="es-BO"/>
              </w:rPr>
              <w:t>l momento de realizar monitoreo</w:t>
            </w:r>
            <w:r w:rsidRPr="00055B97">
              <w:rPr>
                <w:rFonts w:ascii="Arial" w:eastAsia="Times New Roman" w:hAnsi="Arial" w:cs="Arial"/>
                <w:color w:val="222222"/>
                <w:lang w:val="es-BO"/>
              </w:rPr>
              <w:t xml:space="preserve"> y evaluaciones de gestión previo al cambio de autoridades</w:t>
            </w:r>
          </w:p>
          <w:p w:rsidR="00E951ED" w:rsidRPr="00055B97" w:rsidRDefault="00E951ED" w:rsidP="00055B9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p>
          <w:p w:rsidR="00E768F3" w:rsidRPr="00055B97" w:rsidRDefault="00E951ED" w:rsidP="00055B9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r w:rsidRPr="00055B97">
              <w:rPr>
                <w:rFonts w:ascii="Arial" w:hAnsi="Arial" w:cs="Arial"/>
                <w:lang w:val="es-BO"/>
              </w:rPr>
              <w:t>Hay gran diferencia entre los años de servicio</w:t>
            </w:r>
            <w:r w:rsidR="008D1C5E" w:rsidRPr="00055B97">
              <w:rPr>
                <w:rFonts w:ascii="Arial" w:hAnsi="Arial" w:cs="Arial"/>
                <w:lang w:val="es-BO"/>
              </w:rPr>
              <w:t xml:space="preserve"> entre legisladores y ejecutivo</w:t>
            </w:r>
            <w:r w:rsidRPr="00055B97">
              <w:rPr>
                <w:rFonts w:ascii="Arial" w:hAnsi="Arial" w:cs="Arial"/>
                <w:lang w:val="es-BO"/>
              </w:rPr>
              <w:t>, lo que dificulta la coordinación entre ambas instancias. Además, hay 4 legisladores elegidos por la autoridad de su ayllu, por 4 años; lo que podría representar conflictos internos en el órgano legislativo</w:t>
            </w:r>
            <w:r w:rsidR="008D1C5E" w:rsidRPr="00055B97">
              <w:rPr>
                <w:rFonts w:ascii="Arial" w:hAnsi="Arial" w:cs="Arial"/>
                <w:lang w:val="es-BO"/>
              </w:rPr>
              <w:t>.</w:t>
            </w:r>
          </w:p>
          <w:p w:rsidR="00E768F3" w:rsidRPr="00055B97" w:rsidRDefault="00E768F3" w:rsidP="00055B9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lang w:val="es-BO"/>
              </w:rPr>
            </w:pPr>
          </w:p>
          <w:p w:rsidR="00E951ED" w:rsidRPr="00055B97" w:rsidRDefault="00E951ED" w:rsidP="00055B97">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BO"/>
              </w:rPr>
            </w:pPr>
          </w:p>
          <w:p w:rsidR="00E951ED" w:rsidRPr="00055B97" w:rsidRDefault="00E951ED" w:rsidP="00055B97">
            <w:pPr>
              <w:pStyle w:val="NormalWeb"/>
              <w:spacing w:before="0" w:beforeAutospacing="0" w:after="15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222222"/>
                <w:sz w:val="22"/>
                <w:szCs w:val="22"/>
                <w:lang w:val="es-BO"/>
              </w:rPr>
            </w:pPr>
          </w:p>
        </w:tc>
      </w:tr>
      <w:tr w:rsidR="00E951ED" w:rsidRPr="002703CB" w:rsidTr="00055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rsidR="00E951ED" w:rsidRPr="00055B97" w:rsidRDefault="00E951ED" w:rsidP="00055B97">
            <w:pPr>
              <w:pStyle w:val="NormalWeb"/>
              <w:spacing w:before="0" w:beforeAutospacing="0" w:after="150" w:afterAutospacing="0"/>
              <w:jc w:val="both"/>
              <w:rPr>
                <w:rFonts w:ascii="Arial" w:hAnsi="Arial" w:cs="Arial"/>
                <w:b w:val="0"/>
                <w:color w:val="222222"/>
                <w:sz w:val="22"/>
                <w:szCs w:val="22"/>
                <w:lang w:val="es-BO"/>
              </w:rPr>
            </w:pPr>
            <w:r w:rsidRPr="00055B97">
              <w:rPr>
                <w:rFonts w:ascii="Arial" w:hAnsi="Arial" w:cs="Arial"/>
                <w:b w:val="0"/>
                <w:color w:val="222222"/>
                <w:sz w:val="22"/>
                <w:szCs w:val="22"/>
                <w:lang w:val="es-BO"/>
              </w:rPr>
              <w:lastRenderedPageBreak/>
              <w:t>Relación con gobierno central</w:t>
            </w:r>
          </w:p>
        </w:tc>
        <w:tc>
          <w:tcPr>
            <w:tcW w:w="5921" w:type="dxa"/>
            <w:gridSpan w:val="2"/>
          </w:tcPr>
          <w:p w:rsidR="00E951ED"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lang w:val="es-BO"/>
              </w:rPr>
            </w:pPr>
            <w:r w:rsidRPr="00055B97">
              <w:rPr>
                <w:rFonts w:ascii="Arial" w:hAnsi="Arial" w:cs="Arial"/>
                <w:color w:val="222222"/>
                <w:sz w:val="22"/>
                <w:szCs w:val="22"/>
                <w:lang w:val="es-BO"/>
              </w:rPr>
              <w:t>Desde el Gobierno central no existe un entendimiento real de las autonomías indígenas, por ello, la multiplicidad de leyes y procedimientos para la consolidación de los autogobiernos. Lo que puede devenir en un traslape de funciones y competencias entre el Gobierno Central, los gobiernos autónomos descentralizados y las autonomías indígenas</w:t>
            </w:r>
          </w:p>
          <w:p w:rsidR="00E951ED" w:rsidRPr="00055B97" w:rsidRDefault="008D1C5E"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BO"/>
              </w:rPr>
            </w:pPr>
            <w:r w:rsidRPr="00055B97">
              <w:rPr>
                <w:rFonts w:ascii="Arial" w:hAnsi="Arial" w:cs="Arial"/>
                <w:sz w:val="22"/>
                <w:szCs w:val="22"/>
                <w:lang w:val="es-BO"/>
              </w:rPr>
              <w:t>E</w:t>
            </w:r>
            <w:r w:rsidR="00E951ED" w:rsidRPr="00055B97">
              <w:rPr>
                <w:rFonts w:ascii="Arial" w:hAnsi="Arial" w:cs="Arial"/>
                <w:sz w:val="22"/>
                <w:szCs w:val="22"/>
                <w:lang w:val="es-BO"/>
              </w:rPr>
              <w:t xml:space="preserve">n ciertas instituciones no se les reconoce su autonomía por estructuras viejas que no se han adaptado a las </w:t>
            </w:r>
            <w:proofErr w:type="spellStart"/>
            <w:r w:rsidR="00E951ED" w:rsidRPr="00055B97">
              <w:rPr>
                <w:rFonts w:ascii="Arial" w:hAnsi="Arial" w:cs="Arial"/>
                <w:sz w:val="22"/>
                <w:szCs w:val="22"/>
                <w:lang w:val="es-BO"/>
              </w:rPr>
              <w:lastRenderedPageBreak/>
              <w:t>AIOCs</w:t>
            </w:r>
            <w:proofErr w:type="spellEnd"/>
          </w:p>
          <w:p w:rsidR="00E951ED" w:rsidRPr="00055B97" w:rsidRDefault="00E951ED" w:rsidP="00055B97">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BO"/>
              </w:rPr>
            </w:pPr>
            <w:r w:rsidRPr="00055B97">
              <w:rPr>
                <w:rFonts w:ascii="Arial" w:hAnsi="Arial" w:cs="Arial"/>
                <w:lang w:val="es-BO"/>
              </w:rPr>
              <w:t xml:space="preserve">Gestión Pública con normas y procedimientos propios: en ambos casos, se mantienen relaciones de tensión con el Estado, pues es este el que debe adaptar sus leyes e instituciones a las </w:t>
            </w:r>
            <w:proofErr w:type="spellStart"/>
            <w:r w:rsidRPr="00055B97">
              <w:rPr>
                <w:rFonts w:ascii="Arial" w:hAnsi="Arial" w:cs="Arial"/>
                <w:lang w:val="es-BO"/>
              </w:rPr>
              <w:t>AIOCs</w:t>
            </w:r>
            <w:proofErr w:type="spellEnd"/>
            <w:r w:rsidRPr="00055B97">
              <w:rPr>
                <w:rFonts w:ascii="Arial" w:hAnsi="Arial" w:cs="Arial"/>
                <w:lang w:val="es-BO"/>
              </w:rPr>
              <w:t xml:space="preserve">, lo que no sucede a nivel estructural, como se ve en la ley 1178 y en el ministerio de economía; pero tampoco a nivel coyuntural, porque los órganos de poder responsables burocratizan los procesos necesarios para la gestión pública de ambas autonomías, retardando acciones necesarias para las comunidades y evitando que ambas </w:t>
            </w:r>
            <w:proofErr w:type="spellStart"/>
            <w:r w:rsidRPr="00055B97">
              <w:rPr>
                <w:rFonts w:ascii="Arial" w:hAnsi="Arial" w:cs="Arial"/>
                <w:lang w:val="es-BO"/>
              </w:rPr>
              <w:t>AIOCs</w:t>
            </w:r>
            <w:proofErr w:type="spellEnd"/>
            <w:r w:rsidRPr="00055B97">
              <w:rPr>
                <w:rFonts w:ascii="Arial" w:hAnsi="Arial" w:cs="Arial"/>
                <w:lang w:val="es-BO"/>
              </w:rPr>
              <w:t xml:space="preserve"> cumplan sus estatutos y ejecuten sus presupuestos a cabalidad.</w:t>
            </w:r>
          </w:p>
          <w:p w:rsidR="00E951ED" w:rsidRPr="00055B97" w:rsidRDefault="00E951ED" w:rsidP="00055B97">
            <w:pPr>
              <w:pStyle w:val="NormalWeb"/>
              <w:spacing w:before="0" w:beforeAutospacing="0" w:after="15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222222"/>
                <w:sz w:val="22"/>
                <w:szCs w:val="22"/>
                <w:lang w:val="es-BO"/>
              </w:rPr>
            </w:pPr>
          </w:p>
        </w:tc>
      </w:tr>
    </w:tbl>
    <w:p w:rsidR="00532128" w:rsidRPr="00055B97" w:rsidRDefault="00532128" w:rsidP="00055B97">
      <w:pPr>
        <w:jc w:val="both"/>
        <w:rPr>
          <w:rFonts w:ascii="Arial" w:hAnsi="Arial" w:cs="Arial"/>
          <w:b/>
          <w:u w:val="single"/>
          <w:lang w:val="es-BO"/>
        </w:rPr>
      </w:pPr>
      <w:r w:rsidRPr="00055B97">
        <w:rPr>
          <w:rFonts w:ascii="Arial" w:hAnsi="Arial" w:cs="Arial"/>
          <w:b/>
          <w:u w:val="single"/>
          <w:lang w:val="es-BO"/>
        </w:rPr>
        <w:lastRenderedPageBreak/>
        <w:t>Sugerencias</w:t>
      </w:r>
    </w:p>
    <w:p w:rsidR="008D1C5E" w:rsidRPr="00055B97" w:rsidRDefault="008D1C5E" w:rsidP="00055B97">
      <w:pPr>
        <w:jc w:val="both"/>
        <w:rPr>
          <w:rFonts w:ascii="Arial" w:hAnsi="Arial" w:cs="Arial"/>
          <w:b/>
          <w:u w:val="single"/>
          <w:lang w:val="es-BO"/>
        </w:rPr>
      </w:pPr>
      <w:r w:rsidRPr="00055B97">
        <w:rPr>
          <w:rFonts w:ascii="Arial" w:hAnsi="Arial" w:cs="Arial"/>
          <w:b/>
          <w:u w:val="single"/>
          <w:lang w:val="es-BO"/>
        </w:rPr>
        <w:t>Para GAIOCS</w:t>
      </w:r>
    </w:p>
    <w:p w:rsidR="00532128" w:rsidRPr="00055B97" w:rsidRDefault="00532128" w:rsidP="00055B97">
      <w:pPr>
        <w:pStyle w:val="NormalWeb"/>
        <w:numPr>
          <w:ilvl w:val="0"/>
          <w:numId w:val="14"/>
        </w:numPr>
        <w:spacing w:before="0" w:beforeAutospacing="0" w:after="150" w:afterAutospacing="0"/>
        <w:jc w:val="both"/>
        <w:rPr>
          <w:rFonts w:ascii="Arial" w:hAnsi="Arial" w:cs="Arial"/>
          <w:color w:val="222222"/>
          <w:sz w:val="22"/>
          <w:szCs w:val="22"/>
          <w:lang w:val="es-BO"/>
        </w:rPr>
      </w:pPr>
      <w:r w:rsidRPr="00055B97">
        <w:rPr>
          <w:rFonts w:ascii="Arial" w:hAnsi="Arial" w:cs="Arial"/>
          <w:color w:val="222222"/>
          <w:sz w:val="22"/>
          <w:szCs w:val="22"/>
          <w:lang w:val="es-BO"/>
        </w:rPr>
        <w:t>En la medida de lograr una relación coherente y homog</w:t>
      </w:r>
      <w:r w:rsidR="008D1C5E" w:rsidRPr="00055B97">
        <w:rPr>
          <w:rFonts w:ascii="Arial" w:hAnsi="Arial" w:cs="Arial"/>
          <w:color w:val="222222"/>
          <w:sz w:val="22"/>
          <w:szCs w:val="22"/>
          <w:lang w:val="es-BO"/>
        </w:rPr>
        <w:t>énea con el órgano central del Estado P</w:t>
      </w:r>
      <w:r w:rsidRPr="00055B97">
        <w:rPr>
          <w:rFonts w:ascii="Arial" w:hAnsi="Arial" w:cs="Arial"/>
          <w:color w:val="222222"/>
          <w:sz w:val="22"/>
          <w:szCs w:val="22"/>
          <w:lang w:val="es-BO"/>
        </w:rPr>
        <w:t xml:space="preserve">lurinacional sobre todo en la presentación de demandas y descargos de las autonomías indígenas, el tiempo del ejercicio del órgano ejecutivo debe ser igual, ya que la duración diferenciada no podrá generar tiempo de respuesta oportunos, sobre todo en la asignación de recursos económicos. </w:t>
      </w:r>
    </w:p>
    <w:p w:rsidR="00532128" w:rsidRPr="00055B97" w:rsidRDefault="00532128" w:rsidP="00055B97">
      <w:pPr>
        <w:pStyle w:val="NormalWeb"/>
        <w:numPr>
          <w:ilvl w:val="0"/>
          <w:numId w:val="14"/>
        </w:numPr>
        <w:spacing w:before="0" w:beforeAutospacing="0" w:after="150" w:afterAutospacing="0"/>
        <w:jc w:val="both"/>
        <w:rPr>
          <w:rFonts w:ascii="Arial" w:hAnsi="Arial" w:cs="Arial"/>
          <w:b/>
          <w:sz w:val="22"/>
          <w:szCs w:val="22"/>
          <w:u w:val="single"/>
          <w:lang w:val="es-BO"/>
        </w:rPr>
      </w:pPr>
      <w:r w:rsidRPr="00055B97">
        <w:rPr>
          <w:rFonts w:ascii="Arial" w:hAnsi="Arial" w:cs="Arial"/>
          <w:color w:val="222222"/>
          <w:sz w:val="22"/>
          <w:szCs w:val="22"/>
          <w:lang w:val="es-BO"/>
        </w:rPr>
        <w:t xml:space="preserve">Para el caso del GAIOC de </w:t>
      </w:r>
      <w:proofErr w:type="spellStart"/>
      <w:r w:rsidRPr="00055B97">
        <w:rPr>
          <w:rFonts w:ascii="Arial" w:hAnsi="Arial" w:cs="Arial"/>
          <w:color w:val="222222"/>
          <w:sz w:val="22"/>
          <w:szCs w:val="22"/>
          <w:lang w:val="es-BO"/>
        </w:rPr>
        <w:t>Uru</w:t>
      </w:r>
      <w:proofErr w:type="spellEnd"/>
      <w:r w:rsidRPr="00055B97">
        <w:rPr>
          <w:rFonts w:ascii="Arial" w:hAnsi="Arial" w:cs="Arial"/>
          <w:color w:val="222222"/>
          <w:sz w:val="22"/>
          <w:szCs w:val="22"/>
          <w:lang w:val="es-BO"/>
        </w:rPr>
        <w:t xml:space="preserve"> </w:t>
      </w:r>
      <w:proofErr w:type="spellStart"/>
      <w:r w:rsidRPr="00055B97">
        <w:rPr>
          <w:rFonts w:ascii="Arial" w:hAnsi="Arial" w:cs="Arial"/>
          <w:color w:val="222222"/>
          <w:sz w:val="22"/>
          <w:szCs w:val="22"/>
          <w:lang w:val="es-BO"/>
        </w:rPr>
        <w:t>Chipaya</w:t>
      </w:r>
      <w:proofErr w:type="spellEnd"/>
      <w:r w:rsidRPr="00055B97">
        <w:rPr>
          <w:rFonts w:ascii="Arial" w:hAnsi="Arial" w:cs="Arial"/>
          <w:color w:val="222222"/>
          <w:sz w:val="22"/>
          <w:szCs w:val="22"/>
          <w:lang w:val="es-BO"/>
        </w:rPr>
        <w:t xml:space="preserve">, las autoridades de su órgano legislativo, tanto electos como designados deben tener una misma duración en el ejercicio de mandato, lo que se requiere es que esta continuidad se pueda traducir en resultados. </w:t>
      </w:r>
    </w:p>
    <w:p w:rsidR="008D1C5E" w:rsidRPr="00055B97" w:rsidRDefault="008D1C5E" w:rsidP="00055B97">
      <w:pPr>
        <w:pStyle w:val="Prrafodelista"/>
        <w:numPr>
          <w:ilvl w:val="0"/>
          <w:numId w:val="14"/>
        </w:numPr>
        <w:jc w:val="both"/>
        <w:rPr>
          <w:rFonts w:ascii="Arial" w:hAnsi="Arial" w:cs="Arial"/>
          <w:b/>
          <w:u w:val="single"/>
          <w:lang w:val="es-BO"/>
        </w:rPr>
      </w:pPr>
      <w:r w:rsidRPr="00055B97">
        <w:rPr>
          <w:rFonts w:ascii="Arial" w:eastAsia="Times New Roman" w:hAnsi="Arial" w:cs="Arial"/>
          <w:color w:val="222222"/>
          <w:lang w:val="es-BO"/>
        </w:rPr>
        <w:t>Las organizaciones </w:t>
      </w:r>
      <w:r w:rsidRPr="00055B97">
        <w:rPr>
          <w:rFonts w:ascii="Arial" w:eastAsia="Times New Roman" w:hAnsi="Arial" w:cs="Arial"/>
          <w:b/>
          <w:bCs/>
          <w:color w:val="222222"/>
          <w:lang w:val="es-BO"/>
        </w:rPr>
        <w:t>GAIOCS,</w:t>
      </w:r>
      <w:r w:rsidRPr="00055B97">
        <w:rPr>
          <w:rFonts w:ascii="Arial" w:eastAsia="Times New Roman" w:hAnsi="Arial" w:cs="Arial"/>
          <w:color w:val="222222"/>
          <w:lang w:val="es-BO"/>
        </w:rPr>
        <w:t> deben realizar de acuerdo a la CPE y la Ley de Autonomías en vigencia, las modificaciones necesarias para su plena implantación de los autogobiernos indígenas originarias campesinas con autodeterminación propia.</w:t>
      </w:r>
    </w:p>
    <w:p w:rsidR="008D1C5E" w:rsidRPr="00055B97" w:rsidRDefault="008D1C5E" w:rsidP="00055B97">
      <w:pPr>
        <w:pStyle w:val="Prrafodelista"/>
        <w:numPr>
          <w:ilvl w:val="0"/>
          <w:numId w:val="14"/>
        </w:numPr>
        <w:jc w:val="both"/>
        <w:rPr>
          <w:rFonts w:ascii="Arial" w:hAnsi="Arial" w:cs="Arial"/>
          <w:b/>
          <w:u w:val="single"/>
          <w:lang w:val="es-BO"/>
        </w:rPr>
      </w:pPr>
      <w:r w:rsidRPr="00055B97">
        <w:rPr>
          <w:rFonts w:ascii="Arial" w:eastAsia="Times New Roman" w:hAnsi="Arial" w:cs="Arial"/>
          <w:color w:val="222222"/>
          <w:lang w:val="es-BO"/>
        </w:rPr>
        <w:t>Respecto a la administración crear sistemas de autogobierno, que responda a las necesidades e intereses que coadyuven al desarrollo de la planificación, organización, dirección y control de las formas comunitarias propias.</w:t>
      </w:r>
    </w:p>
    <w:p w:rsidR="00055B97" w:rsidRPr="00055B97" w:rsidRDefault="00055B97" w:rsidP="00055B97">
      <w:pPr>
        <w:pStyle w:val="Prrafodelista"/>
        <w:numPr>
          <w:ilvl w:val="0"/>
          <w:numId w:val="14"/>
        </w:numPr>
        <w:jc w:val="both"/>
        <w:rPr>
          <w:rFonts w:ascii="Arial" w:hAnsi="Arial" w:cs="Arial"/>
          <w:b/>
          <w:u w:val="single"/>
          <w:lang w:val="es-BO"/>
        </w:rPr>
      </w:pPr>
      <w:r w:rsidRPr="00055B97">
        <w:rPr>
          <w:rFonts w:ascii="Arial" w:eastAsia="Times New Roman" w:hAnsi="Arial" w:cs="Arial"/>
          <w:color w:val="222222"/>
          <w:lang w:val="es-BO"/>
        </w:rPr>
        <w:t>Homologación de estructuras de las autonomías indígenas originario campesinas, sin perder características contextuales y culturales, para una mejor articulación y coordinación entre entidades estatales y territoriales.</w:t>
      </w:r>
    </w:p>
    <w:p w:rsidR="008D1C5E" w:rsidRPr="00055B97" w:rsidRDefault="00055B97" w:rsidP="00055B97">
      <w:pPr>
        <w:pStyle w:val="Prrafodelista"/>
        <w:numPr>
          <w:ilvl w:val="0"/>
          <w:numId w:val="14"/>
        </w:numPr>
        <w:jc w:val="both"/>
        <w:rPr>
          <w:rFonts w:ascii="Arial" w:hAnsi="Arial" w:cs="Arial"/>
          <w:b/>
          <w:u w:val="single"/>
          <w:lang w:val="es-BO"/>
        </w:rPr>
      </w:pPr>
      <w:r w:rsidRPr="00055B97">
        <w:rPr>
          <w:rFonts w:ascii="Arial" w:eastAsia="Times New Roman" w:hAnsi="Arial" w:cs="Arial"/>
          <w:color w:val="222222"/>
          <w:lang w:val="es-BO"/>
        </w:rPr>
        <w:t xml:space="preserve">En los dos casos analizados y reflexionados </w:t>
      </w:r>
      <w:proofErr w:type="spellStart"/>
      <w:r w:rsidRPr="00055B97">
        <w:rPr>
          <w:rFonts w:ascii="Arial" w:eastAsia="Times New Roman" w:hAnsi="Arial" w:cs="Arial"/>
          <w:color w:val="222222"/>
          <w:lang w:val="es-BO"/>
        </w:rPr>
        <w:t>Charagua</w:t>
      </w:r>
      <w:proofErr w:type="spellEnd"/>
      <w:r w:rsidRPr="00055B97">
        <w:rPr>
          <w:rFonts w:ascii="Arial" w:eastAsia="Times New Roman" w:hAnsi="Arial" w:cs="Arial"/>
          <w:color w:val="222222"/>
          <w:lang w:val="es-BO"/>
        </w:rPr>
        <w:t xml:space="preserve"> </w:t>
      </w:r>
      <w:proofErr w:type="spellStart"/>
      <w:r w:rsidRPr="00055B97">
        <w:rPr>
          <w:rFonts w:ascii="Arial" w:eastAsia="Times New Roman" w:hAnsi="Arial" w:cs="Arial"/>
          <w:color w:val="222222"/>
          <w:lang w:val="es-BO"/>
        </w:rPr>
        <w:t>Iyambae</w:t>
      </w:r>
      <w:proofErr w:type="spellEnd"/>
      <w:r w:rsidRPr="00055B97">
        <w:rPr>
          <w:rFonts w:ascii="Arial" w:eastAsia="Times New Roman" w:hAnsi="Arial" w:cs="Arial"/>
          <w:color w:val="222222"/>
          <w:lang w:val="es-BO"/>
        </w:rPr>
        <w:t xml:space="preserve"> y Nación </w:t>
      </w:r>
      <w:proofErr w:type="spellStart"/>
      <w:r w:rsidRPr="00055B97">
        <w:rPr>
          <w:rFonts w:ascii="Arial" w:eastAsia="Times New Roman" w:hAnsi="Arial" w:cs="Arial"/>
          <w:color w:val="222222"/>
          <w:lang w:val="es-BO"/>
        </w:rPr>
        <w:t>Uru</w:t>
      </w:r>
      <w:proofErr w:type="spellEnd"/>
      <w:r w:rsidRPr="00055B97">
        <w:rPr>
          <w:rFonts w:ascii="Arial" w:eastAsia="Times New Roman" w:hAnsi="Arial" w:cs="Arial"/>
          <w:color w:val="222222"/>
          <w:lang w:val="es-BO"/>
        </w:rPr>
        <w:t xml:space="preserve"> </w:t>
      </w:r>
      <w:proofErr w:type="spellStart"/>
      <w:r w:rsidRPr="00055B97">
        <w:rPr>
          <w:rFonts w:ascii="Arial" w:eastAsia="Times New Roman" w:hAnsi="Arial" w:cs="Arial"/>
          <w:color w:val="222222"/>
          <w:lang w:val="es-BO"/>
        </w:rPr>
        <w:t>Chipaya</w:t>
      </w:r>
      <w:proofErr w:type="spellEnd"/>
      <w:r w:rsidRPr="00055B97">
        <w:rPr>
          <w:rFonts w:ascii="Arial" w:eastAsia="Times New Roman" w:hAnsi="Arial" w:cs="Arial"/>
          <w:color w:val="222222"/>
          <w:lang w:val="es-BO"/>
        </w:rPr>
        <w:t>, deben viabilizar el autogobierno con características propias de acuerdo a sus formas y procesos de administración.</w:t>
      </w:r>
    </w:p>
    <w:p w:rsidR="008D1C5E" w:rsidRPr="00055B97" w:rsidRDefault="008D1C5E" w:rsidP="00055B97">
      <w:pPr>
        <w:jc w:val="both"/>
        <w:rPr>
          <w:rFonts w:ascii="Arial" w:hAnsi="Arial" w:cs="Arial"/>
          <w:b/>
          <w:u w:val="single"/>
          <w:lang w:val="es-BO"/>
        </w:rPr>
      </w:pPr>
      <w:r w:rsidRPr="00055B97">
        <w:rPr>
          <w:rFonts w:ascii="Arial" w:hAnsi="Arial" w:cs="Arial"/>
          <w:b/>
          <w:u w:val="single"/>
          <w:lang w:val="es-BO"/>
        </w:rPr>
        <w:t xml:space="preserve">Para el Estado </w:t>
      </w:r>
    </w:p>
    <w:p w:rsidR="008D1C5E" w:rsidRPr="00055B97" w:rsidRDefault="008D1C5E" w:rsidP="00055B97">
      <w:pPr>
        <w:pStyle w:val="Prrafodelista"/>
        <w:jc w:val="both"/>
        <w:rPr>
          <w:rFonts w:ascii="Arial" w:hAnsi="Arial" w:cs="Arial"/>
          <w:b/>
          <w:u w:val="single"/>
          <w:lang w:val="es-BO"/>
        </w:rPr>
      </w:pPr>
    </w:p>
    <w:p w:rsidR="00532128" w:rsidRPr="00055B97" w:rsidRDefault="008D1C5E" w:rsidP="00055B97">
      <w:pPr>
        <w:pStyle w:val="Prrafodelista"/>
        <w:numPr>
          <w:ilvl w:val="0"/>
          <w:numId w:val="10"/>
        </w:numPr>
        <w:jc w:val="both"/>
        <w:rPr>
          <w:rFonts w:ascii="Arial" w:hAnsi="Arial" w:cs="Arial"/>
          <w:b/>
          <w:u w:val="single"/>
          <w:lang w:val="es-BO"/>
        </w:rPr>
      </w:pPr>
      <w:r w:rsidRPr="00055B97">
        <w:rPr>
          <w:rFonts w:ascii="Arial" w:eastAsia="Times New Roman" w:hAnsi="Arial" w:cs="Arial"/>
          <w:color w:val="222222"/>
          <w:lang w:val="es-BO"/>
        </w:rPr>
        <w:t xml:space="preserve">Optimización de leyes y reglamentos para conformar las autonomías indígenas. </w:t>
      </w:r>
      <w:r w:rsidR="00532128" w:rsidRPr="00055B97">
        <w:rPr>
          <w:rFonts w:ascii="Arial" w:hAnsi="Arial" w:cs="Arial"/>
          <w:lang w:val="es-BO"/>
        </w:rPr>
        <w:t xml:space="preserve">Tomar acciones urgentes de corto plazo, para ir avanzando hacia autonomías reales y operativas, que no existan solamente en lo formal. Para eso, ir cambiando los </w:t>
      </w:r>
      <w:r w:rsidR="00532128" w:rsidRPr="00055B97">
        <w:rPr>
          <w:rFonts w:ascii="Arial" w:hAnsi="Arial" w:cs="Arial"/>
          <w:lang w:val="es-BO"/>
        </w:rPr>
        <w:lastRenderedPageBreak/>
        <w:t>reglamentos, leyes municipales y leyes departamentales, que retrasan y burocratizan los procesos de planificación, organización, ejecución y control de la gestión pública.</w:t>
      </w:r>
    </w:p>
    <w:p w:rsidR="008D1C5E" w:rsidRPr="00055B97" w:rsidRDefault="008D1C5E" w:rsidP="00055B97">
      <w:pPr>
        <w:pStyle w:val="Prrafodelista"/>
        <w:jc w:val="both"/>
        <w:rPr>
          <w:rFonts w:ascii="Arial" w:hAnsi="Arial" w:cs="Arial"/>
          <w:lang w:val="es-BO"/>
        </w:rPr>
      </w:pPr>
    </w:p>
    <w:p w:rsidR="008D1C5E" w:rsidRPr="00055B97" w:rsidRDefault="00532128" w:rsidP="00055B97">
      <w:pPr>
        <w:pStyle w:val="Prrafodelista"/>
        <w:numPr>
          <w:ilvl w:val="0"/>
          <w:numId w:val="10"/>
        </w:numPr>
        <w:jc w:val="both"/>
        <w:rPr>
          <w:rFonts w:ascii="Arial" w:hAnsi="Arial" w:cs="Arial"/>
          <w:lang w:val="es-BO"/>
        </w:rPr>
      </w:pPr>
      <w:r w:rsidRPr="00055B97">
        <w:rPr>
          <w:rFonts w:ascii="Arial" w:hAnsi="Arial" w:cs="Arial"/>
          <w:lang w:val="es-BO"/>
        </w:rPr>
        <w:t>Tener una mirada global y crítica de las leyes e instituciones que se han anclado en viejos procesos del Estado Nación, en vez de ir adaptándose a la nueva CPE. A partir de ello, se debe repensar el modelo del Estado Plurinacional y cuestionar a los actores que se oponen a los procesos autonómicos, con el fin de re encaminar las autonomías indígenas a dire</w:t>
      </w:r>
      <w:r w:rsidR="008D1C5E" w:rsidRPr="00055B97">
        <w:rPr>
          <w:rFonts w:ascii="Arial" w:hAnsi="Arial" w:cs="Arial"/>
          <w:lang w:val="es-BO"/>
        </w:rPr>
        <w:t>cciones más fáciles y efectivas para las dos AIOCS.</w:t>
      </w:r>
    </w:p>
    <w:p w:rsidR="008D1C5E" w:rsidRPr="00055B97" w:rsidRDefault="008D1C5E" w:rsidP="00055B97">
      <w:pPr>
        <w:jc w:val="both"/>
        <w:rPr>
          <w:rFonts w:ascii="Arial" w:hAnsi="Arial" w:cs="Arial"/>
          <w:b/>
          <w:u w:val="single"/>
          <w:lang w:val="es-BO"/>
        </w:rPr>
      </w:pPr>
      <w:r w:rsidRPr="00055B97">
        <w:rPr>
          <w:rFonts w:ascii="Arial" w:hAnsi="Arial" w:cs="Arial"/>
          <w:b/>
          <w:u w:val="single"/>
          <w:lang w:val="es-BO"/>
        </w:rPr>
        <w:t>Para la CONAIOC</w:t>
      </w:r>
    </w:p>
    <w:p w:rsidR="00FC745B" w:rsidRPr="00055B97" w:rsidRDefault="00532128" w:rsidP="00055B97">
      <w:pPr>
        <w:pStyle w:val="Prrafodelista"/>
        <w:numPr>
          <w:ilvl w:val="0"/>
          <w:numId w:val="10"/>
        </w:numPr>
        <w:jc w:val="both"/>
        <w:rPr>
          <w:rFonts w:ascii="Arial" w:hAnsi="Arial" w:cs="Arial"/>
          <w:lang w:val="es-BO"/>
        </w:rPr>
      </w:pPr>
      <w:r w:rsidRPr="00055B97">
        <w:rPr>
          <w:rFonts w:ascii="Arial" w:hAnsi="Arial" w:cs="Arial"/>
          <w:lang w:val="es-BO"/>
        </w:rPr>
        <w:t xml:space="preserve">Ambas </w:t>
      </w:r>
      <w:proofErr w:type="spellStart"/>
      <w:r w:rsidRPr="00055B97">
        <w:rPr>
          <w:rFonts w:ascii="Arial" w:hAnsi="Arial" w:cs="Arial"/>
          <w:lang w:val="es-BO"/>
        </w:rPr>
        <w:t>AIOCs</w:t>
      </w:r>
      <w:proofErr w:type="spellEnd"/>
      <w:r w:rsidRPr="00055B97">
        <w:rPr>
          <w:rFonts w:ascii="Arial" w:hAnsi="Arial" w:cs="Arial"/>
          <w:lang w:val="es-BO"/>
        </w:rPr>
        <w:t xml:space="preserve"> son ejemplos a seguir y guías en el camino de los otros procesos autonómicos. Es importante fortalecer la CONAIOC desde las autoridades indígenas, para que sirva como un órgano de apoyo mutuo, solidaridad y democratización de información.</w:t>
      </w:r>
    </w:p>
    <w:sectPr w:rsidR="00FC745B" w:rsidRPr="00055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87D"/>
    <w:multiLevelType w:val="multilevel"/>
    <w:tmpl w:val="C67C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76192B"/>
    <w:multiLevelType w:val="multilevel"/>
    <w:tmpl w:val="8172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8639D"/>
    <w:multiLevelType w:val="multilevel"/>
    <w:tmpl w:val="7B2A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36829"/>
    <w:multiLevelType w:val="hybridMultilevel"/>
    <w:tmpl w:val="33B8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77EA4"/>
    <w:multiLevelType w:val="hybridMultilevel"/>
    <w:tmpl w:val="6DE2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F2CFB"/>
    <w:multiLevelType w:val="multilevel"/>
    <w:tmpl w:val="C23E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AD593F"/>
    <w:multiLevelType w:val="hybridMultilevel"/>
    <w:tmpl w:val="513E1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CD4C41"/>
    <w:multiLevelType w:val="multilevel"/>
    <w:tmpl w:val="E48A1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713728"/>
    <w:multiLevelType w:val="hybridMultilevel"/>
    <w:tmpl w:val="641E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7F3B5E"/>
    <w:multiLevelType w:val="hybridMultilevel"/>
    <w:tmpl w:val="7D3A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6045D"/>
    <w:multiLevelType w:val="hybridMultilevel"/>
    <w:tmpl w:val="1FF41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DC1CBB"/>
    <w:multiLevelType w:val="multilevel"/>
    <w:tmpl w:val="C9CC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54265D"/>
    <w:multiLevelType w:val="multilevel"/>
    <w:tmpl w:val="F61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763529"/>
    <w:multiLevelType w:val="hybridMultilevel"/>
    <w:tmpl w:val="242A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FF5CC0"/>
    <w:multiLevelType w:val="hybridMultilevel"/>
    <w:tmpl w:val="D1B6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32622"/>
    <w:multiLevelType w:val="multilevel"/>
    <w:tmpl w:val="5E06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5"/>
  </w:num>
  <w:num w:numId="4">
    <w:abstractNumId w:val="1"/>
  </w:num>
  <w:num w:numId="5">
    <w:abstractNumId w:val="2"/>
  </w:num>
  <w:num w:numId="6">
    <w:abstractNumId w:val="14"/>
  </w:num>
  <w:num w:numId="7">
    <w:abstractNumId w:val="13"/>
  </w:num>
  <w:num w:numId="8">
    <w:abstractNumId w:val="9"/>
  </w:num>
  <w:num w:numId="9">
    <w:abstractNumId w:val="3"/>
  </w:num>
  <w:num w:numId="10">
    <w:abstractNumId w:val="4"/>
  </w:num>
  <w:num w:numId="11">
    <w:abstractNumId w:val="7"/>
  </w:num>
  <w:num w:numId="12">
    <w:abstractNumId w:val="10"/>
  </w:num>
  <w:num w:numId="13">
    <w:abstractNumId w:val="11"/>
  </w:num>
  <w:num w:numId="14">
    <w:abstractNumId w:val="8"/>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7E"/>
    <w:rsid w:val="00055B97"/>
    <w:rsid w:val="000A5048"/>
    <w:rsid w:val="000A6ED3"/>
    <w:rsid w:val="00184EAB"/>
    <w:rsid w:val="002703CB"/>
    <w:rsid w:val="00296E04"/>
    <w:rsid w:val="00456A6D"/>
    <w:rsid w:val="00532128"/>
    <w:rsid w:val="0065340A"/>
    <w:rsid w:val="00881E7F"/>
    <w:rsid w:val="008D1C5E"/>
    <w:rsid w:val="0091468C"/>
    <w:rsid w:val="00AE664D"/>
    <w:rsid w:val="00B109A0"/>
    <w:rsid w:val="00BA2678"/>
    <w:rsid w:val="00BD0CFA"/>
    <w:rsid w:val="00CE40D9"/>
    <w:rsid w:val="00DC3E93"/>
    <w:rsid w:val="00E768F3"/>
    <w:rsid w:val="00E951ED"/>
    <w:rsid w:val="00EC797E"/>
    <w:rsid w:val="00ED5018"/>
    <w:rsid w:val="00FC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797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C797E"/>
    <w:rPr>
      <w:b/>
      <w:bCs/>
    </w:rPr>
  </w:style>
  <w:style w:type="character" w:styleId="Hipervnculo">
    <w:name w:val="Hyperlink"/>
    <w:basedOn w:val="Fuentedeprrafopredeter"/>
    <w:uiPriority w:val="99"/>
    <w:semiHidden/>
    <w:unhideWhenUsed/>
    <w:rsid w:val="00EC797E"/>
    <w:rPr>
      <w:color w:val="0000FF"/>
      <w:u w:val="single"/>
    </w:rPr>
  </w:style>
  <w:style w:type="paragraph" w:styleId="Prrafodelista">
    <w:name w:val="List Paragraph"/>
    <w:basedOn w:val="Normal"/>
    <w:uiPriority w:val="34"/>
    <w:qFormat/>
    <w:rsid w:val="0091468C"/>
    <w:pPr>
      <w:ind w:left="720"/>
      <w:contextualSpacing/>
    </w:pPr>
  </w:style>
  <w:style w:type="table" w:styleId="Tablaconcuadrcula">
    <w:name w:val="Table Grid"/>
    <w:basedOn w:val="Tablanormal"/>
    <w:uiPriority w:val="39"/>
    <w:rsid w:val="0091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sid w:val="00055B9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5">
    <w:name w:val="Light List Accent 5"/>
    <w:basedOn w:val="Tablanormal"/>
    <w:uiPriority w:val="61"/>
    <w:rsid w:val="00055B9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55B9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amedia1-nfasis5">
    <w:name w:val="Medium List 1 Accent 5"/>
    <w:basedOn w:val="Tablanormal"/>
    <w:uiPriority w:val="65"/>
    <w:rsid w:val="00055B9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ombreadomedio2-nfasis5">
    <w:name w:val="Medium Shading 2 Accent 5"/>
    <w:basedOn w:val="Tablanormal"/>
    <w:uiPriority w:val="64"/>
    <w:rsid w:val="00055B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797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C797E"/>
    <w:rPr>
      <w:b/>
      <w:bCs/>
    </w:rPr>
  </w:style>
  <w:style w:type="character" w:styleId="Hipervnculo">
    <w:name w:val="Hyperlink"/>
    <w:basedOn w:val="Fuentedeprrafopredeter"/>
    <w:uiPriority w:val="99"/>
    <w:semiHidden/>
    <w:unhideWhenUsed/>
    <w:rsid w:val="00EC797E"/>
    <w:rPr>
      <w:color w:val="0000FF"/>
      <w:u w:val="single"/>
    </w:rPr>
  </w:style>
  <w:style w:type="paragraph" w:styleId="Prrafodelista">
    <w:name w:val="List Paragraph"/>
    <w:basedOn w:val="Normal"/>
    <w:uiPriority w:val="34"/>
    <w:qFormat/>
    <w:rsid w:val="0091468C"/>
    <w:pPr>
      <w:ind w:left="720"/>
      <w:contextualSpacing/>
    </w:pPr>
  </w:style>
  <w:style w:type="table" w:styleId="Tablaconcuadrcula">
    <w:name w:val="Table Grid"/>
    <w:basedOn w:val="Tablanormal"/>
    <w:uiPriority w:val="39"/>
    <w:rsid w:val="0091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sid w:val="00055B9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5">
    <w:name w:val="Light List Accent 5"/>
    <w:basedOn w:val="Tablanormal"/>
    <w:uiPriority w:val="61"/>
    <w:rsid w:val="00055B9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55B9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amedia1-nfasis5">
    <w:name w:val="Medium List 1 Accent 5"/>
    <w:basedOn w:val="Tablanormal"/>
    <w:uiPriority w:val="65"/>
    <w:rsid w:val="00055B9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ombreadomedio2-nfasis5">
    <w:name w:val="Medium Shading 2 Accent 5"/>
    <w:basedOn w:val="Tablanormal"/>
    <w:uiPriority w:val="64"/>
    <w:rsid w:val="00055B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90112">
      <w:bodyDiv w:val="1"/>
      <w:marLeft w:val="0"/>
      <w:marRight w:val="0"/>
      <w:marTop w:val="0"/>
      <w:marBottom w:val="0"/>
      <w:divBdr>
        <w:top w:val="none" w:sz="0" w:space="0" w:color="auto"/>
        <w:left w:val="none" w:sz="0" w:space="0" w:color="auto"/>
        <w:bottom w:val="none" w:sz="0" w:space="0" w:color="auto"/>
        <w:right w:val="none" w:sz="0" w:space="0" w:color="auto"/>
      </w:divBdr>
    </w:div>
    <w:div w:id="1027482300">
      <w:bodyDiv w:val="1"/>
      <w:marLeft w:val="0"/>
      <w:marRight w:val="0"/>
      <w:marTop w:val="0"/>
      <w:marBottom w:val="0"/>
      <w:divBdr>
        <w:top w:val="none" w:sz="0" w:space="0" w:color="auto"/>
        <w:left w:val="none" w:sz="0" w:space="0" w:color="auto"/>
        <w:bottom w:val="none" w:sz="0" w:space="0" w:color="auto"/>
        <w:right w:val="none" w:sz="0" w:space="0" w:color="auto"/>
      </w:divBdr>
    </w:div>
    <w:div w:id="1348025839">
      <w:bodyDiv w:val="1"/>
      <w:marLeft w:val="0"/>
      <w:marRight w:val="0"/>
      <w:marTop w:val="0"/>
      <w:marBottom w:val="0"/>
      <w:divBdr>
        <w:top w:val="none" w:sz="0" w:space="0" w:color="auto"/>
        <w:left w:val="none" w:sz="0" w:space="0" w:color="auto"/>
        <w:bottom w:val="none" w:sz="0" w:space="0" w:color="auto"/>
        <w:right w:val="none" w:sz="0" w:space="0" w:color="auto"/>
      </w:divBdr>
    </w:div>
    <w:div w:id="1615940003">
      <w:bodyDiv w:val="1"/>
      <w:marLeft w:val="0"/>
      <w:marRight w:val="0"/>
      <w:marTop w:val="0"/>
      <w:marBottom w:val="0"/>
      <w:divBdr>
        <w:top w:val="none" w:sz="0" w:space="0" w:color="auto"/>
        <w:left w:val="none" w:sz="0" w:space="0" w:color="auto"/>
        <w:bottom w:val="none" w:sz="0" w:space="0" w:color="auto"/>
        <w:right w:val="none" w:sz="0" w:space="0" w:color="auto"/>
      </w:divBdr>
    </w:div>
    <w:div w:id="1723672786">
      <w:bodyDiv w:val="1"/>
      <w:marLeft w:val="0"/>
      <w:marRight w:val="0"/>
      <w:marTop w:val="0"/>
      <w:marBottom w:val="0"/>
      <w:divBdr>
        <w:top w:val="none" w:sz="0" w:space="0" w:color="auto"/>
        <w:left w:val="none" w:sz="0" w:space="0" w:color="auto"/>
        <w:bottom w:val="none" w:sz="0" w:space="0" w:color="auto"/>
        <w:right w:val="none" w:sz="0" w:space="0" w:color="auto"/>
      </w:divBdr>
    </w:div>
    <w:div w:id="1844205756">
      <w:bodyDiv w:val="1"/>
      <w:marLeft w:val="0"/>
      <w:marRight w:val="0"/>
      <w:marTop w:val="0"/>
      <w:marBottom w:val="0"/>
      <w:divBdr>
        <w:top w:val="none" w:sz="0" w:space="0" w:color="auto"/>
        <w:left w:val="none" w:sz="0" w:space="0" w:color="auto"/>
        <w:bottom w:val="none" w:sz="0" w:space="0" w:color="auto"/>
        <w:right w:val="none" w:sz="0" w:space="0" w:color="auto"/>
      </w:divBdr>
    </w:div>
    <w:div w:id="19143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7</Pages>
  <Words>2022</Words>
  <Characters>11526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Rouch</dc:creator>
  <cp:lastModifiedBy>Rouch</cp:lastModifiedBy>
  <cp:revision>4</cp:revision>
  <dcterms:created xsi:type="dcterms:W3CDTF">2018-07-17T11:19:00Z</dcterms:created>
  <dcterms:modified xsi:type="dcterms:W3CDTF">2018-07-17T20:07:00Z</dcterms:modified>
</cp:coreProperties>
</file>