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50" w:rsidRPr="004467E1" w:rsidRDefault="00366150" w:rsidP="004467E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36"/>
          <w:szCs w:val="42"/>
          <w:lang w:eastAsia="es-BO"/>
        </w:rPr>
      </w:pPr>
      <w:r w:rsidRPr="004467E1">
        <w:rPr>
          <w:rFonts w:ascii="Arial" w:eastAsia="Times New Roman" w:hAnsi="Arial" w:cs="Arial"/>
          <w:b/>
          <w:bCs/>
          <w:color w:val="222222"/>
          <w:sz w:val="36"/>
          <w:szCs w:val="42"/>
          <w:lang w:eastAsia="es-BO"/>
        </w:rPr>
        <w:t xml:space="preserve">Foro virtual sobre diálogo de saberes e investigación </w:t>
      </w:r>
      <w:proofErr w:type="spellStart"/>
      <w:r w:rsidRPr="004467E1">
        <w:rPr>
          <w:rFonts w:ascii="Arial" w:eastAsia="Times New Roman" w:hAnsi="Arial" w:cs="Arial"/>
          <w:b/>
          <w:bCs/>
          <w:color w:val="222222"/>
          <w:sz w:val="36"/>
          <w:szCs w:val="42"/>
          <w:lang w:eastAsia="es-BO"/>
        </w:rPr>
        <w:t>transdisciplinaria</w:t>
      </w:r>
      <w:proofErr w:type="spellEnd"/>
      <w:r w:rsidRPr="004467E1">
        <w:rPr>
          <w:rFonts w:ascii="Arial" w:eastAsia="Times New Roman" w:hAnsi="Arial" w:cs="Arial"/>
          <w:b/>
          <w:bCs/>
          <w:color w:val="222222"/>
          <w:sz w:val="36"/>
          <w:szCs w:val="42"/>
          <w:lang w:eastAsia="es-BO"/>
        </w:rPr>
        <w:t xml:space="preserve"> en agroecología</w:t>
      </w:r>
    </w:p>
    <w:p w:rsidR="00366150" w:rsidRPr="00366150" w:rsidRDefault="004467E1" w:rsidP="00366150">
      <w:pPr>
        <w:spacing w:after="150" w:line="240" w:lineRule="auto"/>
        <w:rPr>
          <w:rFonts w:ascii="Raleway" w:eastAsia="Times New Roman" w:hAnsi="Raleway" w:cs="Times New Roman"/>
          <w:color w:val="222222"/>
          <w:sz w:val="21"/>
          <w:szCs w:val="21"/>
          <w:lang w:eastAsia="es-BO"/>
        </w:rPr>
      </w:pPr>
      <w:r>
        <w:rPr>
          <w:rFonts w:ascii="Raleway" w:eastAsia="Times New Roman" w:hAnsi="Raleway" w:cs="Times New Roman"/>
          <w:i/>
          <w:iCs/>
          <w:color w:val="222222"/>
          <w:sz w:val="21"/>
          <w:szCs w:val="21"/>
          <w:lang w:eastAsia="es-BO"/>
        </w:rPr>
        <w:t>E</w:t>
      </w:r>
      <w:r w:rsidR="00366150" w:rsidRPr="00366150">
        <w:rPr>
          <w:rFonts w:ascii="Raleway" w:eastAsia="Times New Roman" w:hAnsi="Raleway" w:cs="Times New Roman"/>
          <w:i/>
          <w:iCs/>
          <w:color w:val="222222"/>
          <w:sz w:val="21"/>
          <w:szCs w:val="21"/>
          <w:lang w:eastAsia="es-BO"/>
        </w:rPr>
        <w:t xml:space="preserve">jemplo de </w:t>
      </w:r>
      <w:r w:rsidRPr="00366150">
        <w:rPr>
          <w:rFonts w:ascii="Raleway" w:eastAsia="Times New Roman" w:hAnsi="Raleway" w:cs="Times New Roman"/>
          <w:i/>
          <w:iCs/>
          <w:color w:val="222222"/>
          <w:sz w:val="21"/>
          <w:szCs w:val="21"/>
          <w:lang w:eastAsia="es-BO"/>
        </w:rPr>
        <w:t>contribu</w:t>
      </w:r>
      <w:r>
        <w:rPr>
          <w:rFonts w:ascii="Raleway" w:eastAsia="Times New Roman" w:hAnsi="Raleway" w:cs="Times New Roman"/>
          <w:i/>
          <w:iCs/>
          <w:color w:val="222222"/>
          <w:sz w:val="21"/>
          <w:szCs w:val="21"/>
          <w:lang w:eastAsia="es-BO"/>
        </w:rPr>
        <w:t>ción</w:t>
      </w:r>
      <w:r w:rsidRPr="00366150">
        <w:rPr>
          <w:rFonts w:ascii="Raleway" w:eastAsia="Times New Roman" w:hAnsi="Raleway" w:cs="Times New Roman"/>
          <w:i/>
          <w:iCs/>
          <w:color w:val="222222"/>
          <w:sz w:val="21"/>
          <w:szCs w:val="21"/>
          <w:lang w:eastAsia="es-BO"/>
        </w:rPr>
        <w:t xml:space="preserve"> </w:t>
      </w:r>
      <w:r>
        <w:rPr>
          <w:rFonts w:ascii="Raleway" w:eastAsia="Times New Roman" w:hAnsi="Raleway" w:cs="Times New Roman"/>
          <w:i/>
          <w:iCs/>
          <w:color w:val="222222"/>
          <w:sz w:val="21"/>
          <w:szCs w:val="21"/>
          <w:lang w:eastAsia="es-BO"/>
        </w:rPr>
        <w:t xml:space="preserve">para la </w:t>
      </w:r>
      <w:r w:rsidRPr="00366150">
        <w:rPr>
          <w:rFonts w:ascii="Raleway" w:eastAsia="Times New Roman" w:hAnsi="Raleway" w:cs="Times New Roman"/>
          <w:i/>
          <w:iCs/>
          <w:color w:val="222222"/>
          <w:sz w:val="21"/>
          <w:szCs w:val="21"/>
          <w:lang w:eastAsia="es-BO"/>
        </w:rPr>
        <w:t xml:space="preserve">construcción de conocimientos en agroecología </w:t>
      </w:r>
      <w:r>
        <w:rPr>
          <w:rFonts w:ascii="Raleway" w:eastAsia="Times New Roman" w:hAnsi="Raleway" w:cs="Times New Roman"/>
          <w:i/>
          <w:iCs/>
          <w:color w:val="222222"/>
          <w:sz w:val="21"/>
          <w:szCs w:val="21"/>
          <w:lang w:eastAsia="es-BO"/>
        </w:rPr>
        <w:t xml:space="preserve">del </w:t>
      </w:r>
      <w:r w:rsidR="00366150" w:rsidRPr="00366150">
        <w:rPr>
          <w:rFonts w:ascii="Raleway" w:eastAsia="Times New Roman" w:hAnsi="Raleway" w:cs="Times New Roman"/>
          <w:i/>
          <w:iCs/>
          <w:color w:val="222222"/>
          <w:sz w:val="21"/>
          <w:szCs w:val="21"/>
          <w:lang w:eastAsia="es-BO"/>
        </w:rPr>
        <w:t>diálogo de saberes.</w:t>
      </w:r>
    </w:p>
    <w:p w:rsidR="00DD43EC" w:rsidRDefault="00051631" w:rsidP="004467E1">
      <w:pPr>
        <w:spacing w:before="360"/>
        <w:jc w:val="both"/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</w:pPr>
      <w:r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>RESILIENCIA AL CAMBIO CLIMATICO POR</w:t>
      </w:r>
      <w:r w:rsidRPr="00051631">
        <w:t xml:space="preserve"> </w:t>
      </w:r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INDUSTRIALIZACIÓN DE </w:t>
      </w:r>
      <w:r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LAS ESPECIES ANDINAS: </w:t>
      </w:r>
      <w:proofErr w:type="spellStart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>Neowerdermannia</w:t>
      </w:r>
      <w:proofErr w:type="spellEnd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>vorwerckii</w:t>
      </w:r>
      <w:proofErr w:type="spellEnd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 (ACHACANA), </w:t>
      </w:r>
      <w:proofErr w:type="spellStart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>Ombrophytum</w:t>
      </w:r>
      <w:proofErr w:type="spellEnd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>subterraneum</w:t>
      </w:r>
      <w:proofErr w:type="spellEnd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 (AMAÑOTE), </w:t>
      </w:r>
      <w:proofErr w:type="spellStart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>Hipochoeris</w:t>
      </w:r>
      <w:proofErr w:type="spellEnd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>meyeniana</w:t>
      </w:r>
      <w:proofErr w:type="spellEnd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 Var. </w:t>
      </w:r>
      <w:proofErr w:type="spellStart"/>
      <w:proofErr w:type="gramStart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>brachylepis</w:t>
      </w:r>
      <w:proofErr w:type="spellEnd"/>
      <w:proofErr w:type="gramEnd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 (SIKI) y </w:t>
      </w:r>
      <w:proofErr w:type="spellStart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>Stangea</w:t>
      </w:r>
      <w:proofErr w:type="spellEnd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>rhizantha</w:t>
      </w:r>
      <w:proofErr w:type="spellEnd"/>
      <w:r w:rsidRPr="00051631">
        <w:rPr>
          <w:rFonts w:ascii="Arial" w:eastAsia="Arial Unicode MS" w:hAnsi="Arial" w:cs="Arial"/>
          <w:b/>
          <w:color w:val="000000"/>
          <w:spacing w:val="-1"/>
          <w:w w:val="101"/>
          <w:position w:val="-1"/>
          <w:sz w:val="20"/>
          <w:szCs w:val="16"/>
        </w:rPr>
        <w:t xml:space="preserve"> (CHIJURA)</w:t>
      </w:r>
    </w:p>
    <w:p w:rsidR="003B0A25" w:rsidRPr="003B0A25" w:rsidRDefault="00051631" w:rsidP="003B0A25">
      <w:pPr>
        <w:spacing w:before="120" w:after="120"/>
        <w:jc w:val="both"/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</w:pPr>
      <w:r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El Altiplano en los Andes </w:t>
      </w:r>
      <w:r w:rsidR="00954A7B" w:rsidRPr="003B0A25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 xml:space="preserve">es una zona de elevada inseguridad alimentaria </w:t>
      </w:r>
      <w:r w:rsidRPr="003B0A25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 xml:space="preserve">debido a variados factores </w:t>
      </w:r>
      <w:proofErr w:type="spellStart"/>
      <w:r w:rsidRPr="003B0A25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>socieconómicos</w:t>
      </w:r>
      <w:proofErr w:type="spellEnd"/>
      <w:r w:rsidRPr="003B0A25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 xml:space="preserve"> y climáticos</w:t>
      </w:r>
      <w:r w:rsidR="00FC3D08" w:rsidRPr="003B0A25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>; estos últimos se caracterizan por presentar altas variaciones de temperatura diurna, precipitaciones bajas y elevado riesgo de heladas y/o sequías</w:t>
      </w:r>
      <w:r w:rsidRPr="003B0A25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>.</w:t>
      </w:r>
      <w:r w:rsidR="003B0A25" w:rsidRPr="003B0A25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 xml:space="preserve"> </w:t>
      </w:r>
    </w:p>
    <w:p w:rsidR="00301AFE" w:rsidRPr="003B0A25" w:rsidRDefault="003B0A25" w:rsidP="003B0A25">
      <w:pPr>
        <w:spacing w:before="120" w:after="120"/>
        <w:jc w:val="both"/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</w:pPr>
      <w:r w:rsidRPr="003B0A25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>Las condiciones climáticas a futuro podrían cambiar, con un alto riesgo de sequía en los Andes, debido al cambio climático</w:t>
      </w:r>
      <w:r w:rsidR="00086342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>;</w:t>
      </w:r>
      <w:r w:rsidRPr="003B0A25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 xml:space="preserve"> se prevé un aumento de la temperatura, con ello un aumento en los niveles de evapotranspiración, lo cual p</w:t>
      </w:r>
      <w:r w:rsidR="00086342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>odría</w:t>
      </w:r>
      <w:r w:rsidRPr="003B0A25">
        <w:rPr>
          <w:rFonts w:ascii="Arial" w:eastAsia="Arial Unicode MS" w:hAnsi="Arial" w:cs="Arial"/>
          <w:spacing w:val="-1"/>
          <w:w w:val="101"/>
          <w:position w:val="-1"/>
          <w:sz w:val="20"/>
          <w:szCs w:val="16"/>
        </w:rPr>
        <w:t xml:space="preserve"> acarrear mayores niveles de salinización y aridez de los suelos, 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deriva</w:t>
      </w:r>
      <w:r w:rsidR="00117DD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ndo 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en un proceso de </w:t>
      </w:r>
      <w:r w:rsidR="00117DD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pérdida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</w:t>
      </w:r>
      <w:r w:rsidR="00117DD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de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la biodiversidad. Esta erosión genética representa una amenaza para el bienestar de las comunidades rurales, principalmente para muchos pequeños agricultores de subsistencia, quienes tendrían serias dificultades para adaptarse a las nuevas condiciones ambientales.</w:t>
      </w:r>
    </w:p>
    <w:p w:rsidR="001B0FD3" w:rsidRPr="00B42691" w:rsidRDefault="00117DD4" w:rsidP="001B0FD3">
      <w:pPr>
        <w:spacing w:before="120" w:after="120"/>
        <w:jc w:val="both"/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</w:pP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Sin embargo, l</w:t>
      </w:r>
      <w:r w:rsidR="001B0FD3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os pueblos indígenas</w:t>
      </w:r>
      <w:r w:rsidR="001B0FD3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poseen</w:t>
      </w:r>
      <w:r w:rsidR="001B0FD3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conocimientos y prácticas ancestrales valiosas para asegurar los medios de vida</w:t>
      </w:r>
      <w:r w:rsidR="001B0FD3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y</w:t>
      </w:r>
      <w:r w:rsidR="001B0FD3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la producción agro</w:t>
      </w:r>
      <w:r w:rsidR="001B0FD3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ecológica</w:t>
      </w:r>
      <w:r w:rsidR="001B0FD3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,</w:t>
      </w:r>
      <w:r w:rsidR="001B0FD3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toda vez que</w:t>
      </w:r>
      <w:r w:rsidR="001B0FD3" w:rsidRPr="00B42691">
        <w:t xml:space="preserve"> </w:t>
      </w:r>
      <w:r w:rsidR="001B0FD3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han desarrollado formas de vida y estrategias adaptadas a las condiciones extremas de los Andes, transformando características adversas en ventajas comparativas: </w:t>
      </w:r>
    </w:p>
    <w:p w:rsidR="001B0FD3" w:rsidRPr="004467E1" w:rsidRDefault="001B0FD3" w:rsidP="001B0FD3">
      <w:pPr>
        <w:spacing w:before="120" w:after="120"/>
        <w:ind w:left="708"/>
        <w:jc w:val="both"/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</w:pPr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“Desde que los seres humanos llegaron a la región andina, se encontraron con ecosistemas diversos y complejos, en los cuales tuvieron que adaptarse para sobrevivir en las condiciones existente</w:t>
      </w:r>
      <w:r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s.</w:t>
      </w:r>
      <w:r w:rsidRPr="004467E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El camino a seguir fue utilizar la biodiversidad existente y desarrollar los medios de la producción de alimentos. La gran variación ecológica de los Andes les proveyó suficiente material para seleccionar granos, raíces, frutas, hortalizas y tubérculos; se solía aprovechar alimenticia, medicinal y artesanalmente estas especies nativas. Sin embargo, en las últimas décadas, estos sistemas de conocimientos se están perdiendo, por diversas causas típicas de la región altiplánica: falta de reconocimiento, procesos socioeconómicos adversos y migraciones, además por la inminente introducción de especies foráneas y de alimentos importados, producto de la transculturización globalizada.</w:t>
      </w:r>
    </w:p>
    <w:p w:rsidR="00FC3D08" w:rsidRPr="004467E1" w:rsidRDefault="00FC3D08" w:rsidP="00FC3D08">
      <w:pPr>
        <w:spacing w:before="120"/>
        <w:jc w:val="both"/>
        <w:rPr>
          <w:rFonts w:ascii="Arial" w:eastAsia="Arial Unicode MS" w:hAnsi="Arial" w:cs="Arial"/>
          <w:b/>
          <w:i/>
          <w:color w:val="000000"/>
          <w:spacing w:val="-1"/>
          <w:w w:val="101"/>
          <w:position w:val="-1"/>
          <w:sz w:val="20"/>
          <w:szCs w:val="16"/>
        </w:rPr>
      </w:pPr>
      <w:r w:rsidRPr="004467E1">
        <w:rPr>
          <w:rFonts w:ascii="Arial" w:eastAsia="Arial Unicode MS" w:hAnsi="Arial" w:cs="Arial"/>
          <w:b/>
          <w:i/>
          <w:color w:val="000000"/>
          <w:spacing w:val="-1"/>
          <w:w w:val="101"/>
          <w:position w:val="-1"/>
          <w:sz w:val="20"/>
          <w:szCs w:val="16"/>
        </w:rPr>
        <w:t>Desde la academia, cómo a</w:t>
      </w:r>
      <w:r w:rsidR="00117DD4">
        <w:rPr>
          <w:rFonts w:ascii="Arial" w:eastAsia="Arial Unicode MS" w:hAnsi="Arial" w:cs="Arial"/>
          <w:b/>
          <w:i/>
          <w:color w:val="000000"/>
          <w:spacing w:val="-1"/>
          <w:w w:val="101"/>
          <w:position w:val="-1"/>
          <w:sz w:val="20"/>
          <w:szCs w:val="16"/>
        </w:rPr>
        <w:t xml:space="preserve">frontaríamos a los efectos adversos del cambio climático </w:t>
      </w:r>
      <w:r w:rsidR="007550B4" w:rsidRPr="004467E1">
        <w:rPr>
          <w:rFonts w:ascii="Arial" w:eastAsia="Arial Unicode MS" w:hAnsi="Arial" w:cs="Arial"/>
          <w:b/>
          <w:i/>
          <w:color w:val="000000"/>
          <w:spacing w:val="-1"/>
          <w:w w:val="101"/>
          <w:position w:val="-1"/>
          <w:sz w:val="20"/>
          <w:szCs w:val="16"/>
        </w:rPr>
        <w:t>en la región altiplánica de Bolivia</w:t>
      </w:r>
      <w:proofErr w:type="gramStart"/>
      <w:r w:rsidRPr="004467E1">
        <w:rPr>
          <w:rFonts w:ascii="Arial" w:eastAsia="Arial Unicode MS" w:hAnsi="Arial" w:cs="Arial"/>
          <w:b/>
          <w:i/>
          <w:color w:val="000000"/>
          <w:spacing w:val="-1"/>
          <w:w w:val="101"/>
          <w:position w:val="-1"/>
          <w:sz w:val="20"/>
          <w:szCs w:val="16"/>
        </w:rPr>
        <w:t>?</w:t>
      </w:r>
      <w:proofErr w:type="gramEnd"/>
      <w:r w:rsidRPr="004467E1">
        <w:rPr>
          <w:rFonts w:ascii="Arial" w:eastAsia="Arial Unicode MS" w:hAnsi="Arial" w:cs="Arial"/>
          <w:b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</w:p>
    <w:p w:rsidR="00FC3D08" w:rsidRDefault="00FC3D08" w:rsidP="00954A7B">
      <w:pPr>
        <w:spacing w:before="120" w:after="120"/>
        <w:jc w:val="both"/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</w:pPr>
      <w:r w:rsidRPr="00FC3D08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Los procesos de adaptación </w:t>
      </w: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y </w:t>
      </w:r>
      <w:proofErr w:type="spellStart"/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resiliencia</w:t>
      </w:r>
      <w:proofErr w:type="spellEnd"/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</w:t>
      </w:r>
      <w:r w:rsidRPr="00FC3D08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al cambio climático </w:t>
      </w: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-</w:t>
      </w:r>
      <w:r w:rsidRPr="00FC3D08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sugeridos para la región andina</w:t>
      </w: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-</w:t>
      </w:r>
      <w:r w:rsidRPr="00FC3D08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consideran medidas de conservación de la biodiversidad, del agua y del suelo. Las especies y variedades adaptadas a las condiciones locales – de ciclos cortos y resistentes a las sequías o heladas, como las cactáceas y algunos tubérculos andinos- aportan a la disminución de la degradación del suelo, mejorando su fertilidad (con incremento de la materia orgánica y reducción de la pérdida de humedad), posibilitando con ello la disponibilidad de alimentos. Asimismo, coadyuvan en el control de las condiciones medioambientales adversas (vientos, excesiva temperatura, evaporación del recurso hídrico, </w:t>
      </w: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etc.</w:t>
      </w:r>
      <w:r w:rsidRPr="00FC3D08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) y reducen la acumulación en la atmosfera de gases de efecto invernadero.</w:t>
      </w:r>
    </w:p>
    <w:p w:rsidR="0062017A" w:rsidRDefault="009C1248" w:rsidP="0062017A">
      <w:pPr>
        <w:spacing w:before="120" w:after="120"/>
        <w:jc w:val="both"/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</w:pP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En este sentido, </w:t>
      </w:r>
      <w:r w:rsidR="007550B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planteamos abordar este problema con un enfoque de </w:t>
      </w:r>
      <w:proofErr w:type="spellStart"/>
      <w:r w:rsidR="007550B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transdiciplinariedad</w:t>
      </w:r>
      <w:proofErr w:type="spellEnd"/>
      <w:r w:rsidR="007550B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,</w:t>
      </w: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</w:t>
      </w:r>
      <w:r w:rsidR="007550B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indagando los conocimientos</w:t>
      </w:r>
      <w:r w:rsidR="001B0FD3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ancestrales</w:t>
      </w:r>
      <w:r w:rsidR="007550B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, </w:t>
      </w:r>
      <w:r w:rsidR="001B0FD3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sobre </w:t>
      </w:r>
      <w:r w:rsidR="007550B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usos y costumbres que la población local posee </w:t>
      </w:r>
      <w:r w:rsidR="004126FB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sobre las </w:t>
      </w:r>
      <w:r w:rsidR="004126FB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lastRenderedPageBreak/>
        <w:t>especies</w:t>
      </w:r>
      <w:r w:rsidR="007550B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</w:t>
      </w:r>
      <w:r w:rsidR="004126FB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nativas</w:t>
      </w:r>
      <w:r w:rsidR="007550B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</w:t>
      </w:r>
      <w:r w:rsid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-</w:t>
      </w:r>
      <w:proofErr w:type="spellStart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Neowerdermannia</w:t>
      </w:r>
      <w:proofErr w:type="spellEnd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vorwerckii</w:t>
      </w:r>
      <w:proofErr w:type="spellEnd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(achacana), </w:t>
      </w:r>
      <w:proofErr w:type="spellStart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Ombrophytum</w:t>
      </w:r>
      <w:proofErr w:type="spellEnd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subterraneum</w:t>
      </w:r>
      <w:proofErr w:type="spellEnd"/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(</w:t>
      </w:r>
      <w:proofErr w:type="spellStart"/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amañote</w:t>
      </w:r>
      <w:proofErr w:type="spellEnd"/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), </w:t>
      </w:r>
      <w:proofErr w:type="spellStart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Hipochoeris</w:t>
      </w:r>
      <w:proofErr w:type="spellEnd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meyeniana</w:t>
      </w:r>
      <w:proofErr w:type="spellEnd"/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 (</w:t>
      </w:r>
      <w:proofErr w:type="spellStart"/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Siki</w:t>
      </w:r>
      <w:proofErr w:type="spellEnd"/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) y </w:t>
      </w:r>
      <w:proofErr w:type="spellStart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Stangea</w:t>
      </w:r>
      <w:proofErr w:type="spellEnd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="007550B4" w:rsidRPr="00B42691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rhizantha</w:t>
      </w:r>
      <w:proofErr w:type="spellEnd"/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(</w:t>
      </w:r>
      <w:proofErr w:type="spellStart"/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Chijura</w:t>
      </w:r>
      <w:proofErr w:type="spellEnd"/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)</w:t>
      </w:r>
      <w:r w:rsid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-</w:t>
      </w:r>
      <w:r w:rsidR="007550B4"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</w:t>
      </w:r>
      <w:r w:rsidR="007550B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para </w:t>
      </w:r>
      <w:r w:rsidR="004126FB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rescatarlos</w:t>
      </w:r>
      <w:r w:rsid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,</w:t>
      </w:r>
      <w:r w:rsidR="007550B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valorarlos</w:t>
      </w:r>
      <w:r w:rsid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y transformarlos mediante tecnología de alimentos en: </w:t>
      </w:r>
      <w:r w:rsidR="00086342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mermeladas, néctares, helados de crema y de agua, harina, pan, diferentes tipos de quesos. 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La provisión de la materia prima la realizarían las comunidades locales, haciendo uso de sus prácticas agroecológicas sustentables.  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Paralelamente se realizar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ía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un análisis de la cadena agroindustrial con el fin de identificar los procesos, actores presentes en cada una de las etapas y los cuellos de botella a superar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,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combina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ndo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actividades de investigación y 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de 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desarrollo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sustentable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.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De esta forma se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cumpl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irían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acciones multidisciplinarias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,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que involucr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e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n a diferentes actores bajo enfoques empresariales, interculturales y participativos.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Las operaciones e innovaciones tecnológicas generadas en l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os procesos de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transformación de alimentos (en la planta piloto), serían transferidas a la comunidad local para su aprovechamiento, lo cual contribuiría a mejorar 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su</w:t>
      </w:r>
      <w:r w:rsidR="0062017A" w:rsidRPr="00086342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economía y calidad de vida</w:t>
      </w:r>
      <w:r w:rsidR="0062017A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.</w:t>
      </w:r>
    </w:p>
    <w:p w:rsidR="00117DD4" w:rsidRPr="00B42691" w:rsidRDefault="0062017A" w:rsidP="00117DD4">
      <w:pPr>
        <w:spacing w:before="120" w:after="120"/>
        <w:jc w:val="both"/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</w:pP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L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a experiencia de los pueblos indígenas</w:t>
      </w:r>
      <w:r w:rsidR="00117DD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, sobre el uso de las especies andinas mencionadas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</w:t>
      </w: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-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que incluye conocimientos y prácticas ancestrales valiosas para asegurar los medios de vida</w:t>
      </w:r>
      <w:r w:rsidR="00117DD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y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la producción agro</w:t>
      </w:r>
      <w:r w:rsidR="00117DD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ecológica</w:t>
      </w: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-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</w:t>
      </w: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y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a </w:t>
      </w: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fue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valorada por la comunidad científica y los Organismos Internacional</w:t>
      </w:r>
      <w:r w:rsidR="00117DD4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es, como lo muestran algunas investigaciones y/o manifestaciones</w:t>
      </w:r>
      <w:r w:rsidR="00117DD4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: </w:t>
      </w:r>
    </w:p>
    <w:p w:rsidR="00117DD4" w:rsidRPr="009A2E73" w:rsidRDefault="00117DD4" w:rsidP="00117DD4">
      <w:pPr>
        <w:spacing w:before="120" w:after="120"/>
        <w:ind w:left="708"/>
        <w:jc w:val="both"/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</w:pPr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La investigación de F.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Chuquimia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y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et.al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, destaca el potencial de cuatro raíces andinas silvestres y aporta nuevos datos relacionados con la capacidad antioxidante y contenido de fenoles y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flavonoles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totales en estas especies, con el fin de revalorizar a estos alimentos ancestrales y, para que, en un futuro se aprovechen sus propiedades alimenticias y biológicas. Las especies estudiadas fueron: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Neowerdermannia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vorwerckii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(achacana), una cactácea andina, cuya raíz se utiliza como alimento;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Ombrophytum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subterraneum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(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amañote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), una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balanoforácea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comestible, parásita de las raíces de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Lepidophylum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quadrangulare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;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Hipochoeris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meyeniana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 (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Siki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), una planta con hojas basales en forma de roseta, cuyas bases blancas son comestibles, y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Stangea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rhizantha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(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Chijura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), un rizoma comestible. Estas especies –que crecen en forma silvestre en áreas donde la agricultura es difícil por el clima, la falta de agua y por las condiciones topográficas adversas- son utilizadas en la alimentación humana de la región, en particular en épocas de escasez. La Capacidad Antioxidante Total (TAC) fue determinada por los métodos ABTS (2,2’ Azinobis-3-etil- benzotiazolina-6-ácido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sulfonico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) y FRAP (poder antioxidante de reducción férrica). Los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Polifenoles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Totales fueron determinados por el método de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Folin-Ciocalteau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 y los Flavonoides Totales fueron determinados como equivalente de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catequina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. Los valores más altos de actividad antioxidante encontrados correspondieron al </w:t>
      </w:r>
      <w:proofErr w:type="spellStart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amañoke</w:t>
      </w:r>
      <w:proofErr w:type="spellEnd"/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>.</w:t>
      </w:r>
    </w:p>
    <w:p w:rsidR="00117DD4" w:rsidRPr="009A2E73" w:rsidRDefault="00117DD4" w:rsidP="00117DD4">
      <w:pPr>
        <w:spacing w:before="120" w:after="120"/>
        <w:ind w:left="708"/>
        <w:jc w:val="both"/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</w:pPr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En la Conferencia de las Naciones Unidas sobre el Desarrollo Sostenible, que tuvo lugar en Río de Janeiro, Brasil ( del 20 al 22 de junio de 2012) se emitió el siguiente reconocimiento: “Somos conscientes de que los conocimientos tradicionales, innovaciones y prácticas de los pueblos indígenas y las comunidades locales aportan una contribución importante a la conservación y uso sostenible de la diversidad biológica y su aplicación más amplia puede impulsar el bienestar social y los medios de vida sostenibles” </w:t>
      </w:r>
    </w:p>
    <w:p w:rsidR="00117DD4" w:rsidRPr="009A2E73" w:rsidRDefault="00117DD4" w:rsidP="00117DD4">
      <w:pPr>
        <w:spacing w:before="120" w:after="120"/>
        <w:ind w:left="708"/>
        <w:jc w:val="both"/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</w:pPr>
      <w:r w:rsidRPr="009A2E73">
        <w:rPr>
          <w:rFonts w:ascii="Arial" w:eastAsia="Arial Unicode MS" w:hAnsi="Arial" w:cs="Arial"/>
          <w:i/>
          <w:color w:val="000000"/>
          <w:spacing w:val="-1"/>
          <w:w w:val="101"/>
          <w:position w:val="-1"/>
          <w:sz w:val="20"/>
          <w:szCs w:val="16"/>
        </w:rPr>
        <w:t xml:space="preserve">Asimismo, en el documento de Hortalizas Andinas, AGRUCO destaca la necesidad de apoyar la alimentación familiar campesina, a base de la producción local, enfatizando el rol importante que desempeñan las raíces andinas, debido a que estas especies son adaptadas y poseen una enorme riqueza nutricional. </w:t>
      </w:r>
    </w:p>
    <w:p w:rsidR="00051631" w:rsidRPr="002954C0" w:rsidRDefault="00F05575" w:rsidP="002954C0">
      <w:pPr>
        <w:spacing w:before="120" w:after="120"/>
        <w:jc w:val="both"/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</w:pPr>
      <w:r w:rsidRPr="0005163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Se aspira a que un mayor conocimiento científico de las potencialidades económicas y nutritivas de las especies nativas, contribuya a</w:t>
      </w:r>
      <w:r w:rsidR="00B42691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la innovación, las prácticas solidarias, la equidad social, cultural y el manejo adecuado del medio ambiente, fundadas en el desarrollo sustentable y en la riqueza multicultural</w:t>
      </w:r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 xml:space="preserve"> (abordaje </w:t>
      </w:r>
      <w:proofErr w:type="spellStart"/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transdisciplinario</w:t>
      </w:r>
      <w:proofErr w:type="spellEnd"/>
      <w:r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)</w:t>
      </w:r>
      <w:r w:rsidR="00B42691" w:rsidRPr="00B42691">
        <w:rPr>
          <w:rFonts w:ascii="Arial" w:eastAsia="Arial Unicode MS" w:hAnsi="Arial" w:cs="Arial"/>
          <w:color w:val="000000"/>
          <w:spacing w:val="-1"/>
          <w:w w:val="101"/>
          <w:position w:val="-1"/>
          <w:sz w:val="20"/>
          <w:szCs w:val="16"/>
        </w:rPr>
        <w:t>.</w:t>
      </w:r>
      <w:bookmarkStart w:id="0" w:name="_GoBack"/>
      <w:bookmarkEnd w:id="0"/>
    </w:p>
    <w:sectPr w:rsidR="00051631" w:rsidRPr="002954C0" w:rsidSect="002954C0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50"/>
    <w:rsid w:val="00051631"/>
    <w:rsid w:val="00086342"/>
    <w:rsid w:val="00117DD4"/>
    <w:rsid w:val="001B0FD3"/>
    <w:rsid w:val="001F2F4D"/>
    <w:rsid w:val="002954C0"/>
    <w:rsid w:val="00301AFE"/>
    <w:rsid w:val="00366150"/>
    <w:rsid w:val="003B0A25"/>
    <w:rsid w:val="004126FB"/>
    <w:rsid w:val="004467E1"/>
    <w:rsid w:val="0062017A"/>
    <w:rsid w:val="007550B4"/>
    <w:rsid w:val="00954A7B"/>
    <w:rsid w:val="009A2E73"/>
    <w:rsid w:val="009C1248"/>
    <w:rsid w:val="00A64432"/>
    <w:rsid w:val="00B42691"/>
    <w:rsid w:val="00DD43EC"/>
    <w:rsid w:val="00F05575"/>
    <w:rsid w:val="00F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66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6150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customStyle="1" w:styleId="default">
    <w:name w:val="default"/>
    <w:basedOn w:val="Normal"/>
    <w:rsid w:val="0036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66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6150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customStyle="1" w:styleId="default">
    <w:name w:val="default"/>
    <w:basedOn w:val="Normal"/>
    <w:rsid w:val="0036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24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1186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3</cp:revision>
  <dcterms:created xsi:type="dcterms:W3CDTF">2018-06-08T13:59:00Z</dcterms:created>
  <dcterms:modified xsi:type="dcterms:W3CDTF">2018-06-17T03:17:00Z</dcterms:modified>
</cp:coreProperties>
</file>