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A5" w:rsidRPr="00B57CDD" w:rsidRDefault="00E532A5" w:rsidP="00E532A5">
      <w:pPr>
        <w:rPr>
          <w:rFonts w:ascii="Times New Roman" w:hAnsi="Times New Roman" w:cs="Times New Roman"/>
          <w:b/>
          <w:sz w:val="24"/>
          <w:szCs w:val="24"/>
        </w:rPr>
      </w:pPr>
      <w:r w:rsidRPr="00B57CDD">
        <w:rPr>
          <w:rFonts w:ascii="Times New Roman" w:hAnsi="Times New Roman" w:cs="Times New Roman"/>
          <w:b/>
          <w:sz w:val="24"/>
          <w:szCs w:val="24"/>
        </w:rPr>
        <w:t xml:space="preserve">Tarea 2 </w:t>
      </w:r>
    </w:p>
    <w:p w:rsidR="00E532A5" w:rsidRPr="002F35CE" w:rsidRDefault="00E532A5" w:rsidP="00E532A5">
      <w:pPr>
        <w:jc w:val="both"/>
        <w:rPr>
          <w:rFonts w:ascii="Times New Roman" w:hAnsi="Times New Roman" w:cs="Times New Roman"/>
          <w:b/>
          <w:sz w:val="24"/>
          <w:szCs w:val="24"/>
        </w:rPr>
      </w:pPr>
      <w:r w:rsidRPr="002F35CE">
        <w:rPr>
          <w:rFonts w:ascii="Times New Roman" w:hAnsi="Times New Roman" w:cs="Times New Roman"/>
          <w:b/>
          <w:sz w:val="24"/>
          <w:szCs w:val="24"/>
        </w:rPr>
        <w:t xml:space="preserve">1 ¿Cuáles las fortalezas (lo novedoso o interesante) del enfoque de “manejo de los comunes” </w:t>
      </w:r>
      <w:proofErr w:type="spellStart"/>
      <w:r w:rsidRPr="002F35CE">
        <w:rPr>
          <w:rFonts w:ascii="Times New Roman" w:hAnsi="Times New Roman" w:cs="Times New Roman"/>
          <w:b/>
          <w:sz w:val="24"/>
          <w:szCs w:val="24"/>
        </w:rPr>
        <w:t>autogobernanza</w:t>
      </w:r>
      <w:proofErr w:type="spellEnd"/>
      <w:r w:rsidRPr="002F35CE">
        <w:rPr>
          <w:rFonts w:ascii="Times New Roman" w:hAnsi="Times New Roman" w:cs="Times New Roman"/>
          <w:b/>
          <w:sz w:val="24"/>
          <w:szCs w:val="24"/>
        </w:rPr>
        <w:t xml:space="preserve"> presentado por el trabajo de </w:t>
      </w:r>
      <w:proofErr w:type="spellStart"/>
      <w:r w:rsidRPr="002F35CE">
        <w:rPr>
          <w:rFonts w:ascii="Times New Roman" w:hAnsi="Times New Roman" w:cs="Times New Roman"/>
          <w:b/>
          <w:sz w:val="24"/>
          <w:szCs w:val="24"/>
        </w:rPr>
        <w:t>Elinor</w:t>
      </w:r>
      <w:proofErr w:type="spellEnd"/>
      <w:r w:rsidRPr="002F35CE">
        <w:rPr>
          <w:rFonts w:ascii="Times New Roman" w:hAnsi="Times New Roman" w:cs="Times New Roman"/>
          <w:b/>
          <w:sz w:val="24"/>
          <w:szCs w:val="24"/>
        </w:rPr>
        <w:t xml:space="preserve"> </w:t>
      </w:r>
      <w:proofErr w:type="spellStart"/>
      <w:r w:rsidRPr="002F35CE">
        <w:rPr>
          <w:rFonts w:ascii="Times New Roman" w:hAnsi="Times New Roman" w:cs="Times New Roman"/>
          <w:b/>
          <w:sz w:val="24"/>
          <w:szCs w:val="24"/>
        </w:rPr>
        <w:t>Ostrom</w:t>
      </w:r>
      <w:proofErr w:type="spellEnd"/>
      <w:r w:rsidRPr="002F35CE">
        <w:rPr>
          <w:rFonts w:ascii="Times New Roman" w:hAnsi="Times New Roman" w:cs="Times New Roman"/>
          <w:b/>
          <w:sz w:val="24"/>
          <w:szCs w:val="24"/>
        </w:rPr>
        <w:t>?, ¿Cuáles sus debilidades? (los vacíos y las contradicciones</w:t>
      </w:r>
      <w:proofErr w:type="gramStart"/>
      <w:r w:rsidRPr="002F35CE">
        <w:rPr>
          <w:rFonts w:ascii="Times New Roman" w:hAnsi="Times New Roman" w:cs="Times New Roman"/>
          <w:b/>
          <w:sz w:val="24"/>
          <w:szCs w:val="24"/>
        </w:rPr>
        <w:t>?</w:t>
      </w:r>
      <w:proofErr w:type="gramEnd"/>
      <w:r w:rsidRPr="002F35CE">
        <w:rPr>
          <w:rFonts w:ascii="Times New Roman" w:hAnsi="Times New Roman" w:cs="Times New Roman"/>
          <w:b/>
          <w:sz w:val="24"/>
          <w:szCs w:val="24"/>
        </w:rPr>
        <w:t>)</w:t>
      </w:r>
    </w:p>
    <w:p w:rsidR="00E532A5" w:rsidRDefault="00E532A5" w:rsidP="00E532A5">
      <w:pPr>
        <w:jc w:val="both"/>
        <w:rPr>
          <w:rFonts w:ascii="Times New Roman" w:hAnsi="Times New Roman" w:cs="Times New Roman"/>
          <w:sz w:val="24"/>
          <w:szCs w:val="24"/>
        </w:rPr>
      </w:pPr>
      <w:proofErr w:type="spellStart"/>
      <w:r>
        <w:rPr>
          <w:rFonts w:ascii="Times New Roman" w:hAnsi="Times New Roman" w:cs="Times New Roman"/>
          <w:sz w:val="24"/>
          <w:szCs w:val="24"/>
        </w:rPr>
        <w:t>Ostrom</w:t>
      </w:r>
      <w:proofErr w:type="spellEnd"/>
      <w:r>
        <w:rPr>
          <w:rFonts w:ascii="Times New Roman" w:hAnsi="Times New Roman" w:cs="Times New Roman"/>
          <w:sz w:val="24"/>
          <w:szCs w:val="24"/>
        </w:rPr>
        <w:t xml:space="preserve"> analiza los mecanismos institucionales orientados a administrar y gestionar recursos de uso común.</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Las fortalezas son: a) propone la existencia de una forma colectiva de uso y explotación sustentable de los campos de pastoreo, acción que abarca largos periodos de tiempo, que está regulada y cuyos interesados interactúan para mantener la rentabilidad sostenible a largo plazo de estos bienes; b) en este sentido, propone el siguiente concepto: “</w:t>
      </w:r>
      <w:r w:rsidRPr="001D65D1">
        <w:rPr>
          <w:rFonts w:ascii="Times New Roman" w:hAnsi="Times New Roman" w:cs="Times New Roman"/>
          <w:i/>
          <w:sz w:val="24"/>
          <w:szCs w:val="24"/>
        </w:rPr>
        <w:t>El término recurso de uso común alude a un sistema de recursos naturales o creados por el hombre, lo suficientemente grande como para volver costoso (aunque no imposible) excluir a beneficiarios potenciales</w:t>
      </w:r>
      <w:r>
        <w:rPr>
          <w:rFonts w:ascii="Times New Roman" w:hAnsi="Times New Roman" w:cs="Times New Roman"/>
          <w:sz w:val="24"/>
          <w:szCs w:val="24"/>
        </w:rPr>
        <w:t>”. (</w:t>
      </w:r>
      <w:proofErr w:type="spellStart"/>
      <w:r>
        <w:rPr>
          <w:rFonts w:ascii="Times New Roman" w:hAnsi="Times New Roman" w:cs="Times New Roman"/>
          <w:sz w:val="24"/>
          <w:szCs w:val="24"/>
        </w:rPr>
        <w:t>Ostrom</w:t>
      </w:r>
      <w:proofErr w:type="spellEnd"/>
      <w:r>
        <w:rPr>
          <w:rFonts w:ascii="Times New Roman" w:hAnsi="Times New Roman" w:cs="Times New Roman"/>
          <w:sz w:val="24"/>
          <w:szCs w:val="24"/>
        </w:rPr>
        <w:t>, 2011: 77), es decir, que los recursos de uso común son aquellos que están compartidos por un grupo y no son ni privados ni públicos; c) identifica cinco formas de derechos de propiedad de los bienes comunes: acceso, extracción, manejo, exclusión y alienación.</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 xml:space="preserve">En este sentido, </w:t>
      </w:r>
      <w:proofErr w:type="spellStart"/>
      <w:r>
        <w:rPr>
          <w:rFonts w:ascii="Times New Roman" w:hAnsi="Times New Roman" w:cs="Times New Roman"/>
          <w:sz w:val="24"/>
          <w:szCs w:val="24"/>
        </w:rPr>
        <w:t>Ostrom</w:t>
      </w:r>
      <w:proofErr w:type="spellEnd"/>
      <w:r>
        <w:rPr>
          <w:rFonts w:ascii="Times New Roman" w:hAnsi="Times New Roman" w:cs="Times New Roman"/>
          <w:sz w:val="24"/>
          <w:szCs w:val="24"/>
        </w:rPr>
        <w:t xml:space="preserve"> aporta cuando refiere que: a) la administración de los bienes comunes tiene límites claramente definidos, b) los recursos comunes tienen reglas de uso y disfrute adaptadas a las condiciones locales, c) existen acuerdos colectivos que permiten participar a los usuarios en los procesos de decisión, d) existe un control efectivo, por parte de los controladores que sean parte de o a los que la comunidad pueda pedir responsabilidades, e) existe una escala progresiva de sanciones para los usuarios que transgredan las reglas de la comunidad, f) existen mecanismos baratos y de fácil acceso para la resolución de conflictos, g) la comunidad </w:t>
      </w:r>
      <w:proofErr w:type="spellStart"/>
      <w:r>
        <w:rPr>
          <w:rFonts w:ascii="Times New Roman" w:hAnsi="Times New Roman" w:cs="Times New Roman"/>
          <w:sz w:val="24"/>
          <w:szCs w:val="24"/>
        </w:rPr>
        <w:t>autogestiona</w:t>
      </w:r>
      <w:proofErr w:type="spellEnd"/>
      <w:r>
        <w:rPr>
          <w:rFonts w:ascii="Times New Roman" w:hAnsi="Times New Roman" w:cs="Times New Roman"/>
          <w:sz w:val="24"/>
          <w:szCs w:val="24"/>
        </w:rPr>
        <w:t xml:space="preserve"> los bienes comunes, lo cual es reconocido por las autoridades de instancias superiores, h) en el caso de grandes recursos comunes la organización se produce en varios niveles, con pequeñas comunidades locales en el nivel de la base. </w:t>
      </w:r>
    </w:p>
    <w:p w:rsidR="00E532A5" w:rsidRPr="00B57CDD" w:rsidRDefault="00E532A5" w:rsidP="00E532A5">
      <w:pPr>
        <w:jc w:val="both"/>
        <w:rPr>
          <w:rFonts w:ascii="Times New Roman" w:hAnsi="Times New Roman" w:cs="Times New Roman"/>
          <w:sz w:val="24"/>
          <w:szCs w:val="24"/>
        </w:rPr>
      </w:pPr>
      <w:r>
        <w:rPr>
          <w:rFonts w:ascii="Times New Roman" w:hAnsi="Times New Roman" w:cs="Times New Roman"/>
          <w:sz w:val="24"/>
          <w:szCs w:val="24"/>
        </w:rPr>
        <w:t xml:space="preserve">Las debilidades son: a) No refiere la administración de los bienes comunes como rasgos que suele estar enmarcado en pueblos en cuyas culturas históricamente predominó la propiedad y administración colectiva de la tierra; b) Asume que lo “normal” es la propiedad privada de la tierra, la cual, atendiendo el punto anterior, proviene de pueblos cuyas culturas la institucionalizaron en función al surgimiento y desarrollo del capitalismo; c) Si bien aporta visibilizando el uso y administración de los bienes comunes, su visión no deja de ser </w:t>
      </w:r>
      <w:proofErr w:type="spellStart"/>
      <w:r>
        <w:rPr>
          <w:rFonts w:ascii="Times New Roman" w:hAnsi="Times New Roman" w:cs="Times New Roman"/>
          <w:sz w:val="24"/>
          <w:szCs w:val="24"/>
        </w:rPr>
        <w:t>etnocéntrica</w:t>
      </w:r>
      <w:proofErr w:type="spellEnd"/>
      <w:r>
        <w:rPr>
          <w:rFonts w:ascii="Times New Roman" w:hAnsi="Times New Roman" w:cs="Times New Roman"/>
          <w:sz w:val="24"/>
          <w:szCs w:val="24"/>
        </w:rPr>
        <w:t xml:space="preserve"> ya que interpreta realidades indígenas, como la de México, aislando un rasgo cultural, como es el bien común, de otros rasgos que se verifican en contextos indígenas como son la sacralización de la tierra, el ganado y el paisaje y los sistemas rotatorios de cargos entre los cuales se incluyen aquellos referidos al cuidado de las fuentes de agua, de los cultivos y de los espíritus protectores de la naturaleza; d) al no presentar los bienes comunes enmarcados en un contexto cultural, tampoco se enfatiza en que éstos pueden ser objetos de lucha, negociación o redefiniciones políticas por parte de los actores. </w:t>
      </w:r>
    </w:p>
    <w:p w:rsidR="00E532A5" w:rsidRPr="002F35CE" w:rsidRDefault="00E532A5" w:rsidP="00E532A5">
      <w:pPr>
        <w:jc w:val="both"/>
        <w:rPr>
          <w:rFonts w:ascii="Times New Roman" w:hAnsi="Times New Roman" w:cs="Times New Roman"/>
          <w:b/>
          <w:sz w:val="24"/>
          <w:szCs w:val="24"/>
        </w:rPr>
      </w:pPr>
      <w:r w:rsidRPr="002F35CE">
        <w:rPr>
          <w:rFonts w:ascii="Times New Roman" w:hAnsi="Times New Roman" w:cs="Times New Roman"/>
          <w:b/>
          <w:sz w:val="24"/>
          <w:szCs w:val="24"/>
        </w:rPr>
        <w:t xml:space="preserve">2 Utilizando el estudio sobre los comerciantes en vía pública explicar cómo y hasta qué punto el concepto de </w:t>
      </w:r>
      <w:proofErr w:type="spellStart"/>
      <w:r w:rsidRPr="002F35CE">
        <w:rPr>
          <w:rFonts w:ascii="Times New Roman" w:hAnsi="Times New Roman" w:cs="Times New Roman"/>
          <w:b/>
          <w:sz w:val="24"/>
          <w:szCs w:val="24"/>
        </w:rPr>
        <w:t>autogobernanza</w:t>
      </w:r>
      <w:proofErr w:type="spellEnd"/>
      <w:r w:rsidRPr="002F35CE">
        <w:rPr>
          <w:rFonts w:ascii="Times New Roman" w:hAnsi="Times New Roman" w:cs="Times New Roman"/>
          <w:b/>
          <w:sz w:val="24"/>
          <w:szCs w:val="24"/>
        </w:rPr>
        <w:t xml:space="preserve"> en el manejo de los recursos comunes </w:t>
      </w:r>
      <w:r w:rsidRPr="002F35CE">
        <w:rPr>
          <w:rFonts w:ascii="Times New Roman" w:hAnsi="Times New Roman" w:cs="Times New Roman"/>
          <w:b/>
          <w:sz w:val="24"/>
          <w:szCs w:val="24"/>
        </w:rPr>
        <w:lastRenderedPageBreak/>
        <w:t>podría ayudarnos a comprender mejor los desafíos y oportunidades de la planificación del espacio público</w:t>
      </w:r>
      <w:proofErr w:type="gramStart"/>
      <w:r w:rsidRPr="002F35CE">
        <w:rPr>
          <w:rFonts w:ascii="Times New Roman" w:hAnsi="Times New Roman" w:cs="Times New Roman"/>
          <w:b/>
          <w:sz w:val="24"/>
          <w:szCs w:val="24"/>
        </w:rPr>
        <w:t>?</w:t>
      </w:r>
      <w:proofErr w:type="gramEnd"/>
      <w:r w:rsidRPr="002F35CE">
        <w:rPr>
          <w:rFonts w:ascii="Times New Roman" w:hAnsi="Times New Roman" w:cs="Times New Roman"/>
          <w:b/>
          <w:sz w:val="24"/>
          <w:szCs w:val="24"/>
        </w:rPr>
        <w:t xml:space="preserve"> </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 xml:space="preserve">A partir del estudio sobre los comerciantes en vía pública, el concepto de </w:t>
      </w:r>
      <w:proofErr w:type="spellStart"/>
      <w:r>
        <w:rPr>
          <w:rFonts w:ascii="Times New Roman" w:hAnsi="Times New Roman" w:cs="Times New Roman"/>
          <w:sz w:val="24"/>
          <w:szCs w:val="24"/>
        </w:rPr>
        <w:t>autogobernanza</w:t>
      </w:r>
      <w:proofErr w:type="spellEnd"/>
      <w:r>
        <w:rPr>
          <w:rFonts w:ascii="Times New Roman" w:hAnsi="Times New Roman" w:cs="Times New Roman"/>
          <w:sz w:val="24"/>
          <w:szCs w:val="24"/>
        </w:rPr>
        <w:t xml:space="preserve"> en el manejo de los recursos comunes es entendido como la toma de decisiones y el proceso por el cual estas decisiones son implementadas, por parte de los propios comerciantes en vía pública, respecto al manejo del principal recurso común como es el espacio público. Estas decisiones, sin embargo, se encuentran bastante condicionadas a la instancia de decisión del gobierno local, en nuestro caso, el GAMLP, sin mencionar los propietarios de las viviendas y los vecinos. Todos ellos, comerciantes, alcaldía, propietarios y vecinos desarrollan relaciones caracterizadas por la tensión, por lo que la </w:t>
      </w:r>
      <w:proofErr w:type="spellStart"/>
      <w:r>
        <w:rPr>
          <w:rFonts w:ascii="Times New Roman" w:hAnsi="Times New Roman" w:cs="Times New Roman"/>
          <w:sz w:val="24"/>
          <w:szCs w:val="24"/>
        </w:rPr>
        <w:t>autogobernanza</w:t>
      </w:r>
      <w:proofErr w:type="spellEnd"/>
      <w:r>
        <w:rPr>
          <w:rFonts w:ascii="Times New Roman" w:hAnsi="Times New Roman" w:cs="Times New Roman"/>
          <w:sz w:val="24"/>
          <w:szCs w:val="24"/>
        </w:rPr>
        <w:t xml:space="preserve"> de los comerciantes con frecuencia no es un proceso armónico. Esta tensión se debe a que no existe una hegemonía del poder, sino que éste se distribuye entre los diferentes actores.</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 xml:space="preserve">En este sentido, bajo el contexto de la </w:t>
      </w:r>
      <w:proofErr w:type="spellStart"/>
      <w:r>
        <w:rPr>
          <w:rFonts w:ascii="Times New Roman" w:hAnsi="Times New Roman" w:cs="Times New Roman"/>
          <w:sz w:val="24"/>
          <w:szCs w:val="24"/>
        </w:rPr>
        <w:t>autogobernanza</w:t>
      </w:r>
      <w:proofErr w:type="spellEnd"/>
      <w:r>
        <w:rPr>
          <w:rFonts w:ascii="Times New Roman" w:hAnsi="Times New Roman" w:cs="Times New Roman"/>
          <w:sz w:val="24"/>
          <w:szCs w:val="24"/>
        </w:rPr>
        <w:t xml:space="preserve"> de los comerciantes en vía pública, </w:t>
      </w:r>
      <w:r w:rsidRPr="00B57CDD">
        <w:rPr>
          <w:rFonts w:ascii="Times New Roman" w:hAnsi="Times New Roman" w:cs="Times New Roman"/>
          <w:sz w:val="24"/>
          <w:szCs w:val="24"/>
        </w:rPr>
        <w:t>los desafíos y oportunidades de la planificación del espacio público</w:t>
      </w:r>
      <w:r>
        <w:rPr>
          <w:rFonts w:ascii="Times New Roman" w:hAnsi="Times New Roman" w:cs="Times New Roman"/>
          <w:sz w:val="24"/>
          <w:szCs w:val="24"/>
        </w:rPr>
        <w:t xml:space="preserve"> es un reordenamiento territorial, participativo e inclusivo de los comerciantes en vía pública, para lo cual se requiere realizar las siguientes acciones: </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 xml:space="preserve">a) </w:t>
      </w:r>
      <w:r w:rsidRPr="00B509E5">
        <w:rPr>
          <w:rFonts w:ascii="Times New Roman" w:hAnsi="Times New Roman" w:cs="Times New Roman"/>
          <w:sz w:val="24"/>
          <w:szCs w:val="24"/>
        </w:rPr>
        <w:t>Producció</w:t>
      </w:r>
      <w:r>
        <w:rPr>
          <w:rFonts w:ascii="Times New Roman" w:hAnsi="Times New Roman" w:cs="Times New Roman"/>
          <w:sz w:val="24"/>
          <w:szCs w:val="24"/>
        </w:rPr>
        <w:t>n de información acerca de la ubicación exacta de los comerciantes a lo que se añade el adjetivo de “participativa”, es decir, producción participativa de información acerca de los comerciantes en vía pública. Esta producción de conocimiento debe contemplar la feminización de la actividad y la inclusión de personas de tercera edad.</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r>
        <w:rPr>
          <w:rFonts w:ascii="Times New Roman" w:hAnsi="Times New Roman" w:cs="Times New Roman"/>
          <w:sz w:val="24"/>
          <w:szCs w:val="24"/>
        </w:rPr>
        <w:t>Reterritorialización</w:t>
      </w:r>
      <w:proofErr w:type="spellEnd"/>
      <w:r>
        <w:rPr>
          <w:rFonts w:ascii="Times New Roman" w:hAnsi="Times New Roman" w:cs="Times New Roman"/>
          <w:sz w:val="24"/>
          <w:szCs w:val="24"/>
        </w:rPr>
        <w:t xml:space="preserve"> de las asociaciones</w:t>
      </w:r>
      <w:r w:rsidRPr="00B509E5">
        <w:rPr>
          <w:rFonts w:ascii="Times New Roman" w:hAnsi="Times New Roman" w:cs="Times New Roman"/>
          <w:sz w:val="24"/>
          <w:szCs w:val="24"/>
        </w:rPr>
        <w:t xml:space="preserve"> </w:t>
      </w:r>
      <w:r>
        <w:rPr>
          <w:rFonts w:ascii="Times New Roman" w:hAnsi="Times New Roman" w:cs="Times New Roman"/>
          <w:sz w:val="24"/>
          <w:szCs w:val="24"/>
        </w:rPr>
        <w:t>de tal forma que los asentamientos corresponda a la organización</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c) Promover una nueva cultura del consumo generando conciencia en los ciudadanos acerca de sus compras en vía pública y brindándole como alternativa el uso de mercados diseñados para tal efecto</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d) Caracterizar cada tramo de comercio para el diseño diferenciado de los proyectos de ordenamiento</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e) Gestionar actividades sociales con y para los gremiales, de tal forma que establezcan o fortalezcan relaciones armónicas entre los diferentes “dueños del espacio público”</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 xml:space="preserve">f) Evitar la politización de las relaciones entre organizaciones gremiales y el GAMLP </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g) Emprender la gestión de la memoria ya que los asentamientos tienen carácter histórico por lo que es preciso valorizar esta memoria a través de la creación de espacios alternativos de representación (por ejemplo, museo del comercio urbano), además, diferenciar los espacios tradicionales de venta de los nuevos asentamientos</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h) Construir el enfoque de espacios públicos inclusivos</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i) Registrar a los comerciantes en base de datos y correspondiente empadronamiento evidenciado por carnets</w:t>
      </w:r>
    </w:p>
    <w:p w:rsidR="00E532A5" w:rsidRDefault="00E532A5" w:rsidP="00E532A5">
      <w:pPr>
        <w:jc w:val="both"/>
        <w:rPr>
          <w:rFonts w:ascii="Times New Roman" w:hAnsi="Times New Roman" w:cs="Times New Roman"/>
          <w:sz w:val="24"/>
          <w:szCs w:val="24"/>
        </w:rPr>
      </w:pPr>
      <w:r>
        <w:rPr>
          <w:rFonts w:ascii="Times New Roman" w:hAnsi="Times New Roman" w:cs="Times New Roman"/>
          <w:sz w:val="24"/>
          <w:szCs w:val="24"/>
        </w:rPr>
        <w:t>j) Identificar alternativas para los nuevos asentamientos de comerciantes en vía pública, ya que muestran un crecimiento permanente</w:t>
      </w:r>
    </w:p>
    <w:p w:rsidR="00E532A5" w:rsidRPr="00B509E5" w:rsidRDefault="00E532A5" w:rsidP="00E532A5">
      <w:pPr>
        <w:jc w:val="both"/>
        <w:rPr>
          <w:rFonts w:ascii="Times New Roman" w:hAnsi="Times New Roman" w:cs="Times New Roman"/>
          <w:sz w:val="24"/>
          <w:szCs w:val="24"/>
        </w:rPr>
      </w:pPr>
      <w:r>
        <w:rPr>
          <w:rFonts w:ascii="Times New Roman" w:hAnsi="Times New Roman" w:cs="Times New Roman"/>
          <w:sz w:val="24"/>
          <w:szCs w:val="24"/>
        </w:rPr>
        <w:lastRenderedPageBreak/>
        <w:t>k) Establecer formas de debate sobre el uso del espacio público, de tal forma que se generen reflexiones y propuestas</w:t>
      </w:r>
    </w:p>
    <w:p w:rsidR="00C9320F" w:rsidRDefault="00C9320F">
      <w:bookmarkStart w:id="0" w:name="_GoBack"/>
      <w:bookmarkEnd w:id="0"/>
    </w:p>
    <w:sectPr w:rsidR="00C932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A5"/>
    <w:rsid w:val="00C9320F"/>
    <w:rsid w:val="00E532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AAAC9-AFFE-42A0-9648-AD8C88BA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2A5"/>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2017-08-14T13:26:00Z</dcterms:created>
  <dcterms:modified xsi:type="dcterms:W3CDTF">2017-08-14T13:26:00Z</dcterms:modified>
</cp:coreProperties>
</file>