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9F3" w:rsidRDefault="00F17759"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58DA" wp14:editId="3D0B534D">
                <wp:simplePos x="0" y="0"/>
                <wp:positionH relativeFrom="margin">
                  <wp:posOffset>-622935</wp:posOffset>
                </wp:positionH>
                <wp:positionV relativeFrom="paragraph">
                  <wp:posOffset>-13970</wp:posOffset>
                </wp:positionV>
                <wp:extent cx="6724650" cy="9115425"/>
                <wp:effectExtent l="0" t="0" r="0" b="0"/>
                <wp:wrapNone/>
                <wp:docPr id="8" name="2 Marcador de contenido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724650" cy="9115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17C1F" w:rsidRDefault="00417C1F" w:rsidP="00417C1F">
                            <w:pPr>
                              <w:pStyle w:val="NormalWeb"/>
                              <w:spacing w:before="150" w:beforeAutospacing="0" w:after="0" w:afterAutospacing="0" w:line="216" w:lineRule="auto"/>
                              <w:jc w:val="center"/>
                              <w:rPr>
                                <w:rFonts w:asciiTheme="minorHAnsi" w:hAnsi="Calibri" w:cstheme="minorBidi"/>
                                <w:b/>
                                <w:bCs/>
                                <w:noProof/>
                                <w:color w:val="008D8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noProof/>
                                <w:color w:val="008D8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QUE ES LA GOBERNANZA DEL AGUA</w:t>
                            </w:r>
                          </w:p>
                          <w:p w:rsidR="00F17759" w:rsidRPr="00F17759" w:rsidRDefault="00F17759" w:rsidP="00F17759">
                            <w:pPr>
                              <w:pStyle w:val="NormalWeb"/>
                              <w:spacing w:before="150" w:beforeAutospacing="0" w:after="0" w:afterAutospacing="0" w:line="216" w:lineRule="auto"/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8D8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b/>
                                <w:bCs/>
                                <w:color w:val="008D8E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 xml:space="preserve"> Institucionalidad y normas fuertes</w:t>
                            </w:r>
                          </w:p>
                          <w:p w:rsidR="00F17759" w:rsidRPr="00F17759" w:rsidRDefault="00F17759" w:rsidP="00F17759">
                            <w:pPr>
                              <w:pStyle w:val="NormalWeb"/>
                              <w:spacing w:before="150" w:beforeAutospacing="0" w:after="0" w:afterAutospacing="0" w:line="216" w:lineRule="auto"/>
                              <w:rPr>
                                <w:sz w:val="28"/>
                                <w:szCs w:val="28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El concepto más aceptado sobre Gobernanza del Agua es el que presenta GWP:</w:t>
                            </w:r>
                          </w:p>
                          <w:p w:rsidR="00F17759" w:rsidRPr="00F17759" w:rsidRDefault="00F17759" w:rsidP="00F17759">
                            <w:pPr>
                              <w:pStyle w:val="NormalWeb"/>
                              <w:spacing w:before="150" w:beforeAutospacing="0" w:after="0" w:afterAutospacing="0" w:line="216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«</w:t>
                            </w: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La gobernabilidad del agua se refiere al rango de sistemas políticos, sociales, económicos y administrativos implementados para desarrollar y manejar los recursos hídricos y la entrega de servicios sanitarios, en los diferentes niveles de la sociedad. </w:t>
                            </w: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(</w:t>
                            </w: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Rogers and Hall, 2003 p. 17)»</w:t>
                            </w:r>
                          </w:p>
                          <w:p w:rsidR="00F17759" w:rsidRPr="00F17759" w:rsidRDefault="00F17759" w:rsidP="00F17759">
                            <w:pPr>
                              <w:pStyle w:val="NormalWeb"/>
                              <w:spacing w:before="150" w:beforeAutospacing="0" w:after="0" w:afterAutospacing="0" w:line="216" w:lineRule="auto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 xml:space="preserve">Una de las principales críticas: </w:t>
                            </w:r>
                          </w:p>
                          <w:p w:rsidR="00F17759" w:rsidRPr="00F17759" w:rsidRDefault="00F17759" w:rsidP="00F1775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 xml:space="preserve"> Sólo se centra en temas de instituciones y normas.</w:t>
                            </w:r>
                          </w:p>
                          <w:p w:rsidR="00F17759" w:rsidRPr="00F17759" w:rsidRDefault="00F17759" w:rsidP="00F17759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spacing w:line="21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</w:rPr>
                            </w:pPr>
                            <w:r w:rsidRPr="00F1775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s-ES_tradnl"/>
                              </w:rPr>
                              <w:t>No consideras temas como poder, conocimiento, valoración, etc.</w:t>
                            </w:r>
                          </w:p>
                          <w:p w:rsidR="00F17759" w:rsidRDefault="00F17759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  <w:r w:rsidRPr="00F17759"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  <w:t xml:space="preserve"> </w:t>
                            </w:r>
                          </w:p>
                          <w:p w:rsidR="00F17759" w:rsidRDefault="00F17759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643837" w:rsidRDefault="00643837" w:rsidP="00F17759">
                            <w:pPr>
                              <w:spacing w:before="150" w:after="0" w:line="216" w:lineRule="auto"/>
                              <w:rPr>
                                <w:rFonts w:eastAsiaTheme="minorEastAsia" w:hAnsi="Calibri"/>
                                <w:color w:val="008D8E"/>
                                <w:kern w:val="24"/>
                                <w:sz w:val="28"/>
                                <w:szCs w:val="28"/>
                                <w:lang w:val="es-PE" w:eastAsia="es-ES"/>
                              </w:rPr>
                            </w:pPr>
                          </w:p>
                          <w:p w:rsidR="00F17759" w:rsidRPr="00F17759" w:rsidRDefault="00F17759" w:rsidP="00F17759">
                            <w:pPr>
                              <w:spacing w:line="216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es-ES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vert="horz" wrap="square" lIns="91440" tIns="45720" rIns="91440" bIns="4572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58DA" id="2 Marcador de contenido" o:spid="_x0000_s1026" style="position:absolute;margin-left:-49.05pt;margin-top:-1.1pt;width:529.5pt;height:7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" filled="f" stroked="f">
                <v:path arrowok="t"/>
                <o:lock v:ext="edit" grouping="t"/>
                <v:textbox>
                  <w:txbxContent>
                    <w:p w:rsidR="00417C1F" w:rsidRDefault="00417C1F" w:rsidP="00417C1F">
                      <w:pPr>
                        <w:pStyle w:val="NormalWeb"/>
                        <w:spacing w:before="150" w:beforeAutospacing="0" w:after="0" w:afterAutospacing="0" w:line="216" w:lineRule="auto"/>
                        <w:jc w:val="center"/>
                        <w:rPr>
                          <w:rFonts w:asciiTheme="minorHAnsi" w:hAnsi="Calibri" w:cstheme="minorBidi"/>
                          <w:b/>
                          <w:bCs/>
                          <w:noProof/>
                          <w:color w:val="008D8E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noProof/>
                          <w:color w:val="008D8E"/>
                          <w:kern w:val="24"/>
                          <w:sz w:val="28"/>
                          <w:szCs w:val="28"/>
                          <w:lang w:val="es-ES_tradnl"/>
                        </w:rPr>
                        <w:t>QUE ES LA GOBERNANZA DEL AGUA</w:t>
                      </w:r>
                    </w:p>
                    <w:p w:rsidR="00F17759" w:rsidRPr="00F17759" w:rsidRDefault="00F17759" w:rsidP="00F17759">
                      <w:pPr>
                        <w:pStyle w:val="NormalWeb"/>
                        <w:spacing w:before="150" w:beforeAutospacing="0" w:after="0" w:afterAutospacing="0" w:line="216" w:lineRule="auto"/>
                        <w:rPr>
                          <w:rFonts w:asciiTheme="minorHAnsi" w:hAnsi="Calibri" w:cstheme="minorBidi"/>
                          <w:b/>
                          <w:bCs/>
                          <w:color w:val="008D8E"/>
                          <w:kern w:val="24"/>
                          <w:sz w:val="28"/>
                          <w:szCs w:val="28"/>
                          <w:lang w:val="es-ES_tradnl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b/>
                          <w:bCs/>
                          <w:color w:val="008D8E"/>
                          <w:kern w:val="24"/>
                          <w:sz w:val="28"/>
                          <w:szCs w:val="28"/>
                          <w:lang w:val="es-ES_tradnl"/>
                        </w:rPr>
                        <w:t xml:space="preserve"> Institucionalidad y normas fuertes</w:t>
                      </w:r>
                    </w:p>
                    <w:p w:rsidR="00F17759" w:rsidRPr="00F17759" w:rsidRDefault="00F17759" w:rsidP="00F17759">
                      <w:pPr>
                        <w:pStyle w:val="NormalWeb"/>
                        <w:spacing w:before="150" w:beforeAutospacing="0" w:after="0" w:afterAutospacing="0" w:line="216" w:lineRule="auto"/>
                        <w:rPr>
                          <w:sz w:val="28"/>
                          <w:szCs w:val="28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El concepto más aceptado sobre Gobernanza del Agua es el que presenta GWP:</w:t>
                      </w:r>
                    </w:p>
                    <w:p w:rsidR="00F17759" w:rsidRPr="00F17759" w:rsidRDefault="00F17759" w:rsidP="00F17759">
                      <w:pPr>
                        <w:pStyle w:val="NormalWeb"/>
                        <w:spacing w:before="150" w:beforeAutospacing="0" w:after="0" w:afterAutospacing="0" w:line="216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«</w:t>
                      </w: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La gobernabilidad del agua se refiere al rango de sistemas políticos, sociales, económicos y administrativos implementados para desarrollar y manejar los recursos hídricos y la entrega de servicios sanitarios, en los diferentes niveles de la sociedad. </w:t>
                      </w: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(</w:t>
                      </w: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Rogers and Hall, 2003 p. 17)»</w:t>
                      </w:r>
                    </w:p>
                    <w:p w:rsidR="00F17759" w:rsidRPr="00F17759" w:rsidRDefault="00F17759" w:rsidP="00F17759">
                      <w:pPr>
                        <w:pStyle w:val="NormalWeb"/>
                        <w:spacing w:before="150" w:beforeAutospacing="0" w:after="0" w:afterAutospacing="0" w:line="216" w:lineRule="auto"/>
                        <w:jc w:val="both"/>
                        <w:rPr>
                          <w:sz w:val="28"/>
                          <w:szCs w:val="28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 xml:space="preserve">Una de las principales críticas: </w:t>
                      </w:r>
                    </w:p>
                    <w:p w:rsidR="00F17759" w:rsidRPr="00F17759" w:rsidRDefault="00F17759" w:rsidP="00F1775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1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 xml:space="preserve"> Sólo se centra en temas de instituciones y normas.</w:t>
                      </w:r>
                    </w:p>
                    <w:p w:rsidR="00F17759" w:rsidRPr="00F17759" w:rsidRDefault="00F17759" w:rsidP="00F17759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spacing w:line="21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</w:rPr>
                      </w:pPr>
                      <w:r w:rsidRPr="00F1775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8"/>
                          <w:szCs w:val="28"/>
                          <w:lang w:val="es-ES_tradnl"/>
                        </w:rPr>
                        <w:t>No consideras temas como poder, conocimiento, valoración, etc.</w:t>
                      </w:r>
                    </w:p>
                    <w:p w:rsidR="00F17759" w:rsidRDefault="00F17759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  <w:r w:rsidRPr="00F17759"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  <w:t xml:space="preserve"> </w:t>
                      </w:r>
                    </w:p>
                    <w:p w:rsidR="00F17759" w:rsidRDefault="00F17759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643837" w:rsidRDefault="00643837" w:rsidP="00F17759">
                      <w:pPr>
                        <w:spacing w:before="150" w:after="0" w:line="216" w:lineRule="auto"/>
                        <w:rPr>
                          <w:rFonts w:eastAsiaTheme="minorEastAsia" w:hAnsi="Calibri"/>
                          <w:color w:val="008D8E"/>
                          <w:kern w:val="24"/>
                          <w:sz w:val="28"/>
                          <w:szCs w:val="28"/>
                          <w:lang w:val="es-PE" w:eastAsia="es-ES"/>
                        </w:rPr>
                      </w:pPr>
                    </w:p>
                    <w:p w:rsidR="00F17759" w:rsidRPr="00F17759" w:rsidRDefault="00F17759" w:rsidP="00F17759">
                      <w:pPr>
                        <w:spacing w:line="216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es-ES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1409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8646AB"/>
    <w:multiLevelType w:val="hybridMultilevel"/>
    <w:tmpl w:val="A05A1F8E"/>
    <w:lvl w:ilvl="0" w:tplc="ECA28C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34D1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BC21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6D6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B89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7AE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42CB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0C1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4053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FB"/>
    <w:rsid w:val="000B45FB"/>
    <w:rsid w:val="000C2E18"/>
    <w:rsid w:val="001409F3"/>
    <w:rsid w:val="00417C1F"/>
    <w:rsid w:val="00643837"/>
    <w:rsid w:val="00E97302"/>
    <w:rsid w:val="00F1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C31237-E521-48DE-B166-D3CF2B57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B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75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17759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Alex Escalier Ventiades</dc:creator>
  <cp:keywords/>
  <dc:description/>
  <cp:lastModifiedBy>Sergio Alex Escalier Ventiades</cp:lastModifiedBy>
  <cp:revision>8</cp:revision>
  <dcterms:created xsi:type="dcterms:W3CDTF">2017-07-24T21:59:00Z</dcterms:created>
  <dcterms:modified xsi:type="dcterms:W3CDTF">2017-07-24T22:20:00Z</dcterms:modified>
</cp:coreProperties>
</file>