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A28" w:rsidRDefault="009E55C5" w:rsidP="002D56BD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lang w:eastAsia="es-BO"/>
        </w:rPr>
      </w:pPr>
      <w:r w:rsidRPr="002D56BD">
        <w:rPr>
          <w:rFonts w:ascii="Arial" w:eastAsia="Times New Roman" w:hAnsi="Arial" w:cs="Arial"/>
          <w:b/>
          <w:bCs/>
          <w:color w:val="222222"/>
          <w:lang w:eastAsia="es-BO"/>
        </w:rPr>
        <w:t>FORO 2: CONTEXTOS Y ACTORES</w:t>
      </w:r>
    </w:p>
    <w:p w:rsidR="002D56BD" w:rsidRPr="002D56BD" w:rsidRDefault="002D56BD" w:rsidP="002D56BD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lang w:eastAsia="es-BO"/>
        </w:rPr>
      </w:pPr>
    </w:p>
    <w:p w:rsidR="00DD2A28" w:rsidRPr="002D56BD" w:rsidRDefault="00DD2A28" w:rsidP="002D56BD">
      <w:pPr>
        <w:spacing w:after="0" w:line="240" w:lineRule="auto"/>
        <w:rPr>
          <w:rFonts w:ascii="Arial" w:eastAsia="Times New Roman" w:hAnsi="Arial" w:cs="Arial"/>
          <w:color w:val="222222"/>
          <w:lang w:eastAsia="es-BO"/>
        </w:rPr>
      </w:pPr>
      <w:r w:rsidRPr="002D56BD">
        <w:rPr>
          <w:rFonts w:ascii="Arial" w:eastAsia="Times New Roman" w:hAnsi="Arial" w:cs="Arial"/>
          <w:color w:val="222222"/>
          <w:lang w:eastAsia="es-BO"/>
        </w:rPr>
        <w:t>En este foro trabajaremos las diferencias entre contexto y diagnóstico. Se requiere de un análisis crítico de la lectura planteada.</w:t>
      </w:r>
    </w:p>
    <w:p w:rsidR="002D56BD" w:rsidRPr="002D56BD" w:rsidRDefault="002D56BD" w:rsidP="002D56BD">
      <w:pPr>
        <w:spacing w:after="0" w:line="240" w:lineRule="auto"/>
        <w:rPr>
          <w:rFonts w:ascii="Arial" w:hAnsi="Arial" w:cs="Arial"/>
        </w:rPr>
      </w:pPr>
    </w:p>
    <w:p w:rsidR="00267B38" w:rsidRPr="009E55C5" w:rsidRDefault="002D56BD" w:rsidP="00A2687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9E55C5">
        <w:rPr>
          <w:rFonts w:ascii="Arial" w:hAnsi="Arial" w:cs="Arial"/>
          <w:b/>
        </w:rPr>
        <w:t>RAZONE, CUENTO DE INFORMACIÓN DE CONTEXTO Y DE NIVEL DE DIAGNÓSTICO CUENTA PARA LA INICIATIVA QUE VA A TRABAJAR</w:t>
      </w:r>
    </w:p>
    <w:p w:rsidR="002D56BD" w:rsidRDefault="002D56BD" w:rsidP="002D56BD">
      <w:pPr>
        <w:spacing w:after="0" w:line="240" w:lineRule="auto"/>
        <w:jc w:val="both"/>
        <w:rPr>
          <w:rFonts w:ascii="Arial" w:hAnsi="Arial" w:cs="Arial"/>
        </w:rPr>
      </w:pPr>
    </w:p>
    <w:p w:rsidR="002D56BD" w:rsidRDefault="002D56BD" w:rsidP="002D56B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Respuesta: Para el proyecto existe información del contexto nacional de desertificación de suelos, proporcionada por PRONALDES, y también por el </w:t>
      </w:r>
      <w:proofErr w:type="spellStart"/>
      <w:r>
        <w:rPr>
          <w:rFonts w:ascii="Arial" w:hAnsi="Arial" w:cs="Arial"/>
        </w:rPr>
        <w:t>MMAyA</w:t>
      </w:r>
      <w:proofErr w:type="spellEnd"/>
      <w:r>
        <w:rPr>
          <w:rFonts w:ascii="Arial" w:hAnsi="Arial" w:cs="Arial"/>
        </w:rPr>
        <w:t xml:space="preserve">. En cuanto a información propia del lugar de estudio no se tiene, sin embargo se podría obtener algo muy referencial del Plan de Desarrollo Municipal – PDM del Municipio de </w:t>
      </w:r>
      <w:proofErr w:type="spellStart"/>
      <w:r>
        <w:rPr>
          <w:rFonts w:ascii="Arial" w:hAnsi="Arial" w:cs="Arial"/>
        </w:rPr>
        <w:t>Caquiaviri</w:t>
      </w:r>
      <w:proofErr w:type="spellEnd"/>
      <w:r>
        <w:rPr>
          <w:rFonts w:ascii="Arial" w:hAnsi="Arial" w:cs="Arial"/>
        </w:rPr>
        <w:t>.</w:t>
      </w:r>
    </w:p>
    <w:p w:rsidR="002D56BD" w:rsidRDefault="002D56BD" w:rsidP="002D56BD">
      <w:pPr>
        <w:spacing w:after="0" w:line="240" w:lineRule="auto"/>
        <w:jc w:val="both"/>
        <w:rPr>
          <w:rFonts w:ascii="Arial" w:hAnsi="Arial" w:cs="Arial"/>
        </w:rPr>
      </w:pPr>
    </w:p>
    <w:p w:rsidR="00A26876" w:rsidRPr="009E55C5" w:rsidRDefault="00A26876" w:rsidP="00A2687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9E55C5">
        <w:rPr>
          <w:rFonts w:ascii="Arial" w:hAnsi="Arial" w:cs="Arial"/>
          <w:b/>
        </w:rPr>
        <w:t>DIFERENCIAS ENTRE CONTEXTO Y DIAGNOSTICO</w:t>
      </w:r>
    </w:p>
    <w:p w:rsidR="00A26876" w:rsidRDefault="00A26876" w:rsidP="00A26876">
      <w:pPr>
        <w:spacing w:after="0" w:line="240" w:lineRule="auto"/>
        <w:jc w:val="both"/>
        <w:rPr>
          <w:rFonts w:ascii="Arial" w:hAnsi="Arial" w:cs="Arial"/>
        </w:rPr>
      </w:pPr>
    </w:p>
    <w:p w:rsidR="00A26876" w:rsidRPr="00A26876" w:rsidRDefault="00A26876" w:rsidP="00A2687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Como comprensión de la lectura realizada podría indicar que el </w:t>
      </w:r>
      <w:r w:rsidR="009E55C5" w:rsidRPr="009E55C5">
        <w:rPr>
          <w:rFonts w:ascii="Arial" w:hAnsi="Arial" w:cs="Arial"/>
          <w:b/>
        </w:rPr>
        <w:t>CONTEXTO</w:t>
      </w:r>
      <w:r w:rsidRPr="00A26876">
        <w:rPr>
          <w:rFonts w:ascii="Arial" w:hAnsi="Arial" w:cs="Arial"/>
        </w:rPr>
        <w:t xml:space="preserve"> es un conjunto de elementos y circunstancias que sirven para explicar una situación.</w:t>
      </w:r>
      <w:r w:rsidR="009E55C5">
        <w:rPr>
          <w:rFonts w:ascii="Arial" w:hAnsi="Arial" w:cs="Arial"/>
        </w:rPr>
        <w:t xml:space="preserve"> </w:t>
      </w:r>
      <w:r w:rsidRPr="00A26876">
        <w:rPr>
          <w:rFonts w:ascii="Arial" w:hAnsi="Arial" w:cs="Arial"/>
        </w:rPr>
        <w:t xml:space="preserve">Desde un punto de vista individual cada persona vive en un contexto, el cual actúa como sus </w:t>
      </w:r>
      <w:r w:rsidR="009E55C5" w:rsidRPr="00A26876">
        <w:rPr>
          <w:rFonts w:ascii="Arial" w:hAnsi="Arial" w:cs="Arial"/>
        </w:rPr>
        <w:t>ejes</w:t>
      </w:r>
      <w:r w:rsidRPr="00A26876">
        <w:rPr>
          <w:rFonts w:ascii="Arial" w:hAnsi="Arial" w:cs="Arial"/>
        </w:rPr>
        <w:t xml:space="preserve"> vitales. El contexto de alguien está formado por el ambiente en el que vive, el periodo histórico, las influencias sociales que recibe y todos aquellos factores que tienen una influencia sobre el individuo.</w:t>
      </w:r>
    </w:p>
    <w:p w:rsidR="009E55C5" w:rsidRDefault="009E55C5" w:rsidP="00A26876">
      <w:pPr>
        <w:spacing w:after="0" w:line="240" w:lineRule="auto"/>
        <w:jc w:val="both"/>
        <w:rPr>
          <w:rFonts w:ascii="Arial" w:hAnsi="Arial" w:cs="Arial"/>
        </w:rPr>
      </w:pPr>
    </w:p>
    <w:p w:rsidR="00A26876" w:rsidRDefault="009E55C5" w:rsidP="00A2687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Otra forma de referir el termino contexto es </w:t>
      </w:r>
      <w:r w:rsidR="00A26876" w:rsidRPr="00A26876">
        <w:rPr>
          <w:rFonts w:ascii="Arial" w:hAnsi="Arial" w:cs="Arial"/>
        </w:rPr>
        <w:t>todo aquello que rodea tanto física como simbólicamente a un evento o acontecimiento, en tanto, es ello lo que nos permite interpretar y comprender un hecho dado, ya sea su contexto simbólico o material.</w:t>
      </w:r>
    </w:p>
    <w:p w:rsidR="009E55C5" w:rsidRDefault="009E55C5" w:rsidP="00A26876">
      <w:pPr>
        <w:spacing w:after="0" w:line="240" w:lineRule="auto"/>
        <w:jc w:val="both"/>
        <w:rPr>
          <w:rFonts w:ascii="Arial" w:hAnsi="Arial" w:cs="Arial"/>
        </w:rPr>
      </w:pPr>
    </w:p>
    <w:p w:rsidR="009E55C5" w:rsidRPr="009E55C5" w:rsidRDefault="009E55C5" w:rsidP="009E55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cuanto al </w:t>
      </w:r>
      <w:r w:rsidRPr="009E55C5">
        <w:rPr>
          <w:rFonts w:ascii="Arial" w:hAnsi="Arial" w:cs="Arial"/>
          <w:b/>
        </w:rPr>
        <w:t>DIAGNOSTICO</w:t>
      </w:r>
      <w:r>
        <w:rPr>
          <w:rFonts w:ascii="Arial" w:hAnsi="Arial" w:cs="Arial"/>
        </w:rPr>
        <w:t xml:space="preserve"> se puede comprender como el </w:t>
      </w:r>
      <w:r w:rsidRPr="009E55C5">
        <w:rPr>
          <w:rFonts w:ascii="Arial" w:hAnsi="Arial" w:cs="Arial"/>
        </w:rPr>
        <w:t>proceso de reconocimiento, análisis y evaluación de una cosa o situación para determinar sus tendencias, solucionar un problema o remediar un mal.</w:t>
      </w:r>
      <w:r>
        <w:rPr>
          <w:rFonts w:ascii="Arial" w:hAnsi="Arial" w:cs="Arial"/>
        </w:rPr>
        <w:t xml:space="preserve"> Pero también el concepto de diagnóstico </w:t>
      </w:r>
      <w:r w:rsidRPr="009E55C5">
        <w:rPr>
          <w:rFonts w:ascii="Arial" w:hAnsi="Arial" w:cs="Arial"/>
        </w:rPr>
        <w:t>es extensible a los más diversos campos en el sentido de examen de una situación o cosa para determinar su solución. El diagnóstico</w:t>
      </w:r>
      <w:r>
        <w:rPr>
          <w:rFonts w:ascii="Arial" w:hAnsi="Arial" w:cs="Arial"/>
        </w:rPr>
        <w:t xml:space="preserve"> puede ayudar también</w:t>
      </w:r>
      <w:r w:rsidRPr="009E55C5">
        <w:rPr>
          <w:rFonts w:ascii="Arial" w:hAnsi="Arial" w:cs="Arial"/>
        </w:rPr>
        <w:t xml:space="preserve"> a determinar, mediante el análisis de datos e informaciones, qué es lo que está pasando y cómo podríamos arreglar, mejorar o corregir una situación.</w:t>
      </w:r>
    </w:p>
    <w:p w:rsidR="009E55C5" w:rsidRPr="009E55C5" w:rsidRDefault="009E55C5" w:rsidP="009E55C5">
      <w:pPr>
        <w:spacing w:after="0" w:line="240" w:lineRule="auto"/>
        <w:jc w:val="both"/>
        <w:rPr>
          <w:rFonts w:ascii="Arial" w:hAnsi="Arial" w:cs="Arial"/>
        </w:rPr>
      </w:pPr>
    </w:p>
    <w:p w:rsidR="00A26876" w:rsidRPr="00A42601" w:rsidRDefault="00A26876" w:rsidP="00A26876">
      <w:pPr>
        <w:spacing w:after="0" w:line="240" w:lineRule="auto"/>
        <w:jc w:val="both"/>
        <w:rPr>
          <w:rFonts w:ascii="Arial" w:hAnsi="Arial" w:cs="Arial"/>
          <w:b/>
        </w:rPr>
      </w:pPr>
      <w:r w:rsidRPr="00A42601">
        <w:rPr>
          <w:rFonts w:ascii="Arial" w:hAnsi="Arial" w:cs="Arial"/>
          <w:b/>
        </w:rPr>
        <w:t xml:space="preserve">Ejemplo: </w:t>
      </w:r>
      <w:r w:rsidR="00B8612E" w:rsidRPr="00A42601">
        <w:rPr>
          <w:rFonts w:ascii="Arial" w:hAnsi="Arial" w:cs="Arial"/>
          <w:b/>
        </w:rPr>
        <w:t>SUELO</w:t>
      </w:r>
    </w:p>
    <w:p w:rsidR="00A26876" w:rsidRDefault="00A26876" w:rsidP="00A26876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A26876" w:rsidTr="00A26876">
        <w:tc>
          <w:tcPr>
            <w:tcW w:w="4489" w:type="dxa"/>
          </w:tcPr>
          <w:p w:rsidR="00A26876" w:rsidRPr="00A26876" w:rsidRDefault="00A26876" w:rsidP="00A26876">
            <w:pPr>
              <w:jc w:val="center"/>
              <w:rPr>
                <w:rFonts w:ascii="Arial" w:hAnsi="Arial" w:cs="Arial"/>
                <w:b/>
              </w:rPr>
            </w:pPr>
            <w:r w:rsidRPr="00A26876">
              <w:rPr>
                <w:rFonts w:ascii="Arial" w:hAnsi="Arial" w:cs="Arial"/>
                <w:b/>
              </w:rPr>
              <w:t>CONTEXTO</w:t>
            </w:r>
          </w:p>
        </w:tc>
        <w:tc>
          <w:tcPr>
            <w:tcW w:w="4489" w:type="dxa"/>
          </w:tcPr>
          <w:p w:rsidR="00A26876" w:rsidRPr="00A26876" w:rsidRDefault="00A26876" w:rsidP="00A26876">
            <w:pPr>
              <w:jc w:val="center"/>
              <w:rPr>
                <w:rFonts w:ascii="Arial" w:hAnsi="Arial" w:cs="Arial"/>
                <w:b/>
              </w:rPr>
            </w:pPr>
            <w:r w:rsidRPr="00A26876">
              <w:rPr>
                <w:rFonts w:ascii="Arial" w:hAnsi="Arial" w:cs="Arial"/>
                <w:b/>
              </w:rPr>
              <w:t>DIAGNOSTICO</w:t>
            </w:r>
          </w:p>
        </w:tc>
      </w:tr>
      <w:tr w:rsidR="00B8612E" w:rsidTr="00A26876">
        <w:tc>
          <w:tcPr>
            <w:tcW w:w="4489" w:type="dxa"/>
          </w:tcPr>
          <w:p w:rsidR="00B8612E" w:rsidRPr="00B8612E" w:rsidRDefault="00B8612E" w:rsidP="00B861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FAO ha declarado como prioridad mundial la conservación del suelo como factor primordial para la seguridad y soberanía alimentaria</w:t>
            </w:r>
          </w:p>
        </w:tc>
        <w:tc>
          <w:tcPr>
            <w:tcW w:w="4489" w:type="dxa"/>
          </w:tcPr>
          <w:p w:rsidR="00B8612E" w:rsidRPr="00294CAE" w:rsidRDefault="00294CAE" w:rsidP="00294C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Existen investigaciones sobre uso y manejo de suelos, esta información está muy dispersa</w:t>
            </w:r>
            <w:r w:rsidR="00F171E3">
              <w:rPr>
                <w:rFonts w:ascii="Arial" w:hAnsi="Arial" w:cs="Arial"/>
              </w:rPr>
              <w:t xml:space="preserve"> y no difundida.</w:t>
            </w:r>
          </w:p>
        </w:tc>
      </w:tr>
      <w:tr w:rsidR="00B8612E" w:rsidTr="00A26876">
        <w:tc>
          <w:tcPr>
            <w:tcW w:w="4489" w:type="dxa"/>
          </w:tcPr>
          <w:p w:rsidR="00B8612E" w:rsidRPr="00B8612E" w:rsidRDefault="00B8612E" w:rsidP="00B861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Organismos multilaterales como el BID, BM, CAF disponen de recursos económicos para apoyar políticas y planes de uso y manejo de suelos agropecuarios y forestales</w:t>
            </w:r>
          </w:p>
        </w:tc>
        <w:tc>
          <w:tcPr>
            <w:tcW w:w="4489" w:type="dxa"/>
          </w:tcPr>
          <w:p w:rsidR="00294CAE" w:rsidRDefault="00294CAE" w:rsidP="00294C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Los agricultores </w:t>
            </w:r>
            <w:bookmarkStart w:id="0" w:name="_GoBack"/>
            <w:bookmarkEnd w:id="0"/>
            <w:r>
              <w:rPr>
                <w:rFonts w:ascii="Arial" w:hAnsi="Arial" w:cs="Arial"/>
              </w:rPr>
              <w:t>realizan prácticas de uso y manejo de suelos aplicando conocimientos ancestrales o saberes andinos.</w:t>
            </w:r>
          </w:p>
          <w:p w:rsidR="00294CAE" w:rsidRPr="00294CAE" w:rsidRDefault="00294CAE" w:rsidP="00294CAE">
            <w:pPr>
              <w:jc w:val="both"/>
              <w:rPr>
                <w:rFonts w:ascii="Arial" w:hAnsi="Arial" w:cs="Arial"/>
              </w:rPr>
            </w:pPr>
          </w:p>
        </w:tc>
      </w:tr>
      <w:tr w:rsidR="00A26876" w:rsidTr="00A26876">
        <w:tc>
          <w:tcPr>
            <w:tcW w:w="4489" w:type="dxa"/>
          </w:tcPr>
          <w:p w:rsidR="00A26876" w:rsidRDefault="00B8612E" w:rsidP="00B861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año 2015 se ha declarado el año internacional del suelo.</w:t>
            </w:r>
          </w:p>
        </w:tc>
        <w:tc>
          <w:tcPr>
            <w:tcW w:w="4489" w:type="dxa"/>
          </w:tcPr>
          <w:p w:rsidR="00A26876" w:rsidRDefault="00294CAE" w:rsidP="00294C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INIAF no realiza investigaciones aplicadas al uso y manejo de suelos con fines de conservación y recuperación.</w:t>
            </w:r>
          </w:p>
        </w:tc>
      </w:tr>
      <w:tr w:rsidR="00A26876" w:rsidTr="00A26876">
        <w:tc>
          <w:tcPr>
            <w:tcW w:w="4489" w:type="dxa"/>
          </w:tcPr>
          <w:p w:rsidR="00A26876" w:rsidRDefault="00B8612E" w:rsidP="00B8612E">
            <w:pPr>
              <w:jc w:val="both"/>
              <w:rPr>
                <w:rFonts w:ascii="Arial" w:hAnsi="Arial" w:cs="Arial"/>
              </w:rPr>
            </w:pPr>
            <w:r w:rsidRPr="00B8612E">
              <w:rPr>
                <w:rFonts w:ascii="Arial" w:hAnsi="Arial" w:cs="Arial"/>
              </w:rPr>
              <w:t xml:space="preserve">Bolivia </w:t>
            </w:r>
            <w:r w:rsidR="00536AA7">
              <w:rPr>
                <w:rFonts w:ascii="Arial" w:hAnsi="Arial" w:cs="Arial"/>
              </w:rPr>
              <w:t xml:space="preserve">ha incorporado en la Constitución Política del Estado competencias </w:t>
            </w:r>
            <w:r w:rsidR="00536AA7">
              <w:rPr>
                <w:rFonts w:ascii="Arial" w:hAnsi="Arial" w:cs="Arial"/>
              </w:rPr>
              <w:lastRenderedPageBreak/>
              <w:t>exclusivas del nivel central, departamental, municipal e indígena originario para la conservación de suelos.</w:t>
            </w:r>
          </w:p>
        </w:tc>
        <w:tc>
          <w:tcPr>
            <w:tcW w:w="4489" w:type="dxa"/>
          </w:tcPr>
          <w:p w:rsidR="00A26876" w:rsidRDefault="00294CAE" w:rsidP="00294C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No hay una ins</w:t>
            </w:r>
            <w:r w:rsidR="00F171E3">
              <w:rPr>
                <w:rFonts w:ascii="Arial" w:hAnsi="Arial" w:cs="Arial"/>
              </w:rPr>
              <w:t>tancia que recolecte</w:t>
            </w:r>
            <w:r>
              <w:rPr>
                <w:rFonts w:ascii="Arial" w:hAnsi="Arial" w:cs="Arial"/>
              </w:rPr>
              <w:t xml:space="preserve"> y sistematice información sobre </w:t>
            </w:r>
            <w:r>
              <w:rPr>
                <w:rFonts w:ascii="Arial" w:hAnsi="Arial" w:cs="Arial"/>
              </w:rPr>
              <w:lastRenderedPageBreak/>
              <w:t>desertificación de suelos.</w:t>
            </w:r>
          </w:p>
        </w:tc>
      </w:tr>
      <w:tr w:rsidR="00B8612E" w:rsidTr="00A26876">
        <w:tc>
          <w:tcPr>
            <w:tcW w:w="4489" w:type="dxa"/>
          </w:tcPr>
          <w:p w:rsidR="00B8612E" w:rsidRPr="00B8612E" w:rsidRDefault="00536AA7" w:rsidP="00B8612E">
            <w:pPr>
              <w:jc w:val="both"/>
              <w:rPr>
                <w:rFonts w:ascii="Arial" w:hAnsi="Arial" w:cs="Arial"/>
              </w:rPr>
            </w:pPr>
            <w:r w:rsidRPr="00536AA7">
              <w:rPr>
                <w:rFonts w:ascii="Arial" w:hAnsi="Arial" w:cs="Arial"/>
              </w:rPr>
              <w:lastRenderedPageBreak/>
              <w:t>Según datos del PRONALDES (1996), el proceso de desertificación en Bolivia, específicamente en subregiones del altiplano, valles y chaco; afecta al 41% del territorio nacional (439.432,4 km2.), afectando por este fenómeno millones de toneladas de suelos cultivable que se pierden cada año (100% de los departamentos de Oruro, Potosí, Chuquisaca y Tarija; al 32% de La Paz, al 33% de Santa Cruz y al 45% de Cochabamba).</w:t>
            </w:r>
          </w:p>
        </w:tc>
        <w:tc>
          <w:tcPr>
            <w:tcW w:w="4489" w:type="dxa"/>
          </w:tcPr>
          <w:p w:rsidR="00B8612E" w:rsidRDefault="00294CAE" w:rsidP="00F171E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hay voluntad política ni conciencia</w:t>
            </w:r>
            <w:r w:rsidR="00F171E3">
              <w:rPr>
                <w:rFonts w:ascii="Arial" w:hAnsi="Arial" w:cs="Arial"/>
              </w:rPr>
              <w:t xml:space="preserve"> de las autoridades</w:t>
            </w:r>
            <w:r>
              <w:rPr>
                <w:rFonts w:ascii="Arial" w:hAnsi="Arial" w:cs="Arial"/>
              </w:rPr>
              <w:t xml:space="preserve"> sobre la importancia del recurso suelo</w:t>
            </w:r>
            <w:r w:rsidR="00F171E3">
              <w:rPr>
                <w:rFonts w:ascii="Arial" w:hAnsi="Arial" w:cs="Arial"/>
              </w:rPr>
              <w:t xml:space="preserve">, considerado </w:t>
            </w:r>
            <w:r>
              <w:rPr>
                <w:rFonts w:ascii="Arial" w:hAnsi="Arial" w:cs="Arial"/>
              </w:rPr>
              <w:t>como</w:t>
            </w:r>
            <w:r w:rsidR="00F171E3">
              <w:rPr>
                <w:rFonts w:ascii="Arial" w:hAnsi="Arial" w:cs="Arial"/>
              </w:rPr>
              <w:t xml:space="preserve"> un</w:t>
            </w:r>
            <w:r>
              <w:rPr>
                <w:rFonts w:ascii="Arial" w:hAnsi="Arial" w:cs="Arial"/>
              </w:rPr>
              <w:t xml:space="preserve"> factor </w:t>
            </w:r>
            <w:r w:rsidR="00F171E3">
              <w:rPr>
                <w:rFonts w:ascii="Arial" w:hAnsi="Arial" w:cs="Arial"/>
              </w:rPr>
              <w:t>imprescindible para la producción de alimentos.</w:t>
            </w:r>
          </w:p>
        </w:tc>
      </w:tr>
      <w:tr w:rsidR="00B8612E" w:rsidTr="00A26876">
        <w:tc>
          <w:tcPr>
            <w:tcW w:w="4489" w:type="dxa"/>
          </w:tcPr>
          <w:p w:rsidR="00B8612E" w:rsidRPr="00B8612E" w:rsidRDefault="00536AA7" w:rsidP="00B8612E">
            <w:pPr>
              <w:jc w:val="both"/>
              <w:rPr>
                <w:rFonts w:ascii="Arial" w:hAnsi="Arial" w:cs="Arial"/>
              </w:rPr>
            </w:pPr>
            <w:r w:rsidRPr="00536AA7">
              <w:rPr>
                <w:rFonts w:ascii="Arial" w:hAnsi="Arial" w:cs="Arial"/>
              </w:rPr>
              <w:t>La deforestación en diversos departamentos, ha llegado a impactar a ecosistemas de alta fragilidad y a regiones húmedas de montaña, poniendo en riesgo a zonas productoras de agua.</w:t>
            </w:r>
          </w:p>
        </w:tc>
        <w:tc>
          <w:tcPr>
            <w:tcW w:w="4489" w:type="dxa"/>
          </w:tcPr>
          <w:p w:rsidR="00B8612E" w:rsidRDefault="00F171E3" w:rsidP="00294C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producción agropecuaria y forestal se sustenta sobre dos recursos importantes el agua y el suelo.</w:t>
            </w:r>
          </w:p>
        </w:tc>
      </w:tr>
      <w:tr w:rsidR="00A26876" w:rsidTr="00A26876">
        <w:tc>
          <w:tcPr>
            <w:tcW w:w="4489" w:type="dxa"/>
          </w:tcPr>
          <w:p w:rsidR="00A26876" w:rsidRDefault="00536AA7" w:rsidP="00B8612E">
            <w:pPr>
              <w:jc w:val="both"/>
              <w:rPr>
                <w:rFonts w:ascii="Arial" w:hAnsi="Arial" w:cs="Arial"/>
              </w:rPr>
            </w:pPr>
            <w:r w:rsidRPr="00536AA7">
              <w:rPr>
                <w:rFonts w:ascii="Arial" w:hAnsi="Arial" w:cs="Arial"/>
              </w:rPr>
              <w:t>Según el Mapa de Deforestación 2000-2013, el 48% de la cobertura total de bosque se encuentra en el departamento de Santa Cruz, el 18% en el Beni, el 13% en el norte de La Paz y el 13% en el departamento de Pando. Estos cuatro departamentos albergan el 92% de los bosques de las Tierras Bajas y Yungas de Bolivia. El restante 8% se distribuyen en el Norte de Cochabamba (5%), las zonas Este de Tarija (2%) y Chuquisaca (1%).</w:t>
            </w:r>
          </w:p>
        </w:tc>
        <w:tc>
          <w:tcPr>
            <w:tcW w:w="4489" w:type="dxa"/>
          </w:tcPr>
          <w:p w:rsidR="00A26876" w:rsidRDefault="00F171E3" w:rsidP="00F171E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Los programas y proyectos del </w:t>
            </w:r>
            <w:proofErr w:type="spellStart"/>
            <w:r>
              <w:rPr>
                <w:rFonts w:ascii="Arial" w:hAnsi="Arial" w:cs="Arial"/>
              </w:rPr>
              <w:t>MDRyT</w:t>
            </w:r>
            <w:proofErr w:type="spellEnd"/>
            <w:r>
              <w:rPr>
                <w:rFonts w:ascii="Arial" w:hAnsi="Arial" w:cs="Arial"/>
              </w:rPr>
              <w:t xml:space="preserve"> no consideran el recurso suelo en su ejecución.</w:t>
            </w:r>
          </w:p>
        </w:tc>
      </w:tr>
      <w:tr w:rsidR="00A26876" w:rsidTr="00A26876">
        <w:tc>
          <w:tcPr>
            <w:tcW w:w="4489" w:type="dxa"/>
          </w:tcPr>
          <w:p w:rsidR="00A26876" w:rsidRDefault="00536AA7" w:rsidP="00B8612E">
            <w:pPr>
              <w:jc w:val="both"/>
              <w:rPr>
                <w:rFonts w:ascii="Arial" w:hAnsi="Arial" w:cs="Arial"/>
              </w:rPr>
            </w:pPr>
            <w:r w:rsidRPr="00536AA7">
              <w:rPr>
                <w:rFonts w:ascii="Arial" w:hAnsi="Arial" w:cs="Arial"/>
              </w:rPr>
              <w:t>El cambio climático representa una seria amenaza para la seguridad alimentaria mundial, en buena parte debido a sus efectos sobre los suelos.</w:t>
            </w:r>
          </w:p>
        </w:tc>
        <w:tc>
          <w:tcPr>
            <w:tcW w:w="4489" w:type="dxa"/>
          </w:tcPr>
          <w:p w:rsidR="00A26876" w:rsidRDefault="00F171E3" w:rsidP="00294C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Hay improvisación y desconocimiento de las autoridades del </w:t>
            </w:r>
            <w:proofErr w:type="spellStart"/>
            <w:r>
              <w:rPr>
                <w:rFonts w:ascii="Arial" w:hAnsi="Arial" w:cs="Arial"/>
              </w:rPr>
              <w:t>MDRyT</w:t>
            </w:r>
            <w:proofErr w:type="spellEnd"/>
            <w:r>
              <w:rPr>
                <w:rFonts w:ascii="Arial" w:hAnsi="Arial" w:cs="Arial"/>
              </w:rPr>
              <w:t xml:space="preserve"> sobre la temática del suelo y su importancia en el desarrollo agropecuario.</w:t>
            </w:r>
          </w:p>
        </w:tc>
      </w:tr>
      <w:tr w:rsidR="00536AA7" w:rsidTr="00A26876">
        <w:tc>
          <w:tcPr>
            <w:tcW w:w="4489" w:type="dxa"/>
          </w:tcPr>
          <w:p w:rsidR="00536AA7" w:rsidRPr="00536AA7" w:rsidRDefault="00536AA7" w:rsidP="00B8612E">
            <w:pPr>
              <w:jc w:val="both"/>
              <w:rPr>
                <w:rFonts w:ascii="Arial" w:hAnsi="Arial" w:cs="Arial"/>
              </w:rPr>
            </w:pPr>
            <w:r w:rsidRPr="00536AA7">
              <w:rPr>
                <w:rFonts w:ascii="Arial" w:hAnsi="Arial" w:cs="Arial"/>
              </w:rPr>
              <w:t xml:space="preserve">La mejora de las prácticas agrícolas y del manejo del suelo que aumenten el carbono orgánico del suelo, como la agroecología, la agricultura ecológica, la agricultura de conservación y la </w:t>
            </w:r>
            <w:proofErr w:type="spellStart"/>
            <w:r w:rsidRPr="00536AA7">
              <w:rPr>
                <w:rFonts w:ascii="Arial" w:hAnsi="Arial" w:cs="Arial"/>
              </w:rPr>
              <w:t>agrosilvocultura</w:t>
            </w:r>
            <w:proofErr w:type="spellEnd"/>
            <w:r w:rsidRPr="00536AA7">
              <w:rPr>
                <w:rFonts w:ascii="Arial" w:hAnsi="Arial" w:cs="Arial"/>
              </w:rPr>
              <w:t xml:space="preserve"> aportan múltiples beneficios. Producen suelos fértiles que son ricos en materia orgánica (carbono), mantienen las superficies de suelo con vegetación, requieren menos insumos químicos, y promueven la rotación de cultivos y la biodiversidad.</w:t>
            </w:r>
          </w:p>
        </w:tc>
        <w:tc>
          <w:tcPr>
            <w:tcW w:w="4489" w:type="dxa"/>
          </w:tcPr>
          <w:p w:rsidR="00536AA7" w:rsidRDefault="00F171E3" w:rsidP="00294C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frontera agrícola se va incrementando sin ninguna planificación, poniendo en riesgo la fertilidad de suelos cuya consecuencia será la disminución</w:t>
            </w:r>
            <w:r w:rsidR="00093A9F">
              <w:rPr>
                <w:rFonts w:ascii="Arial" w:hAnsi="Arial" w:cs="Arial"/>
              </w:rPr>
              <w:t xml:space="preserve"> y </w:t>
            </w:r>
            <w:proofErr w:type="gramStart"/>
            <w:r w:rsidR="00093A9F">
              <w:rPr>
                <w:rFonts w:ascii="Arial" w:hAnsi="Arial" w:cs="Arial"/>
              </w:rPr>
              <w:t>perdida</w:t>
            </w:r>
            <w:proofErr w:type="gramEnd"/>
            <w:r>
              <w:rPr>
                <w:rFonts w:ascii="Arial" w:hAnsi="Arial" w:cs="Arial"/>
              </w:rPr>
              <w:t xml:space="preserve"> de pasturas, especies forestales y agua; por consiguiente inseguridad alimentaria.</w:t>
            </w:r>
          </w:p>
        </w:tc>
      </w:tr>
    </w:tbl>
    <w:p w:rsidR="00A26876" w:rsidRPr="00A26876" w:rsidRDefault="00A26876" w:rsidP="00A26876">
      <w:pPr>
        <w:spacing w:after="0" w:line="240" w:lineRule="auto"/>
        <w:jc w:val="both"/>
        <w:rPr>
          <w:rFonts w:ascii="Arial" w:hAnsi="Arial" w:cs="Arial"/>
        </w:rPr>
      </w:pPr>
    </w:p>
    <w:sectPr w:rsidR="00A26876" w:rsidRPr="00A268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E57E0"/>
    <w:multiLevelType w:val="hybridMultilevel"/>
    <w:tmpl w:val="5C56E246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A28"/>
    <w:rsid w:val="00093A9F"/>
    <w:rsid w:val="00267B38"/>
    <w:rsid w:val="00294CAE"/>
    <w:rsid w:val="002D56BD"/>
    <w:rsid w:val="00536AA7"/>
    <w:rsid w:val="007F638F"/>
    <w:rsid w:val="009E55C5"/>
    <w:rsid w:val="00A26876"/>
    <w:rsid w:val="00A42601"/>
    <w:rsid w:val="00B8612E"/>
    <w:rsid w:val="00DD2A28"/>
    <w:rsid w:val="00F1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6876"/>
    <w:pPr>
      <w:ind w:left="720"/>
      <w:contextualSpacing/>
    </w:pPr>
  </w:style>
  <w:style w:type="table" w:styleId="Tablaconcuadrcula">
    <w:name w:val="Table Grid"/>
    <w:basedOn w:val="Tablanormal"/>
    <w:uiPriority w:val="59"/>
    <w:rsid w:val="00A26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6876"/>
    <w:pPr>
      <w:ind w:left="720"/>
      <w:contextualSpacing/>
    </w:pPr>
  </w:style>
  <w:style w:type="table" w:styleId="Tablaconcuadrcula">
    <w:name w:val="Table Grid"/>
    <w:basedOn w:val="Tablanormal"/>
    <w:uiPriority w:val="59"/>
    <w:rsid w:val="00A26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1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869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4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0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65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1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40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812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Jimmy.Copa</dc:creator>
  <cp:lastModifiedBy>Jimmy.Copa</cp:lastModifiedBy>
  <cp:revision>5</cp:revision>
  <dcterms:created xsi:type="dcterms:W3CDTF">2017-07-21T19:03:00Z</dcterms:created>
  <dcterms:modified xsi:type="dcterms:W3CDTF">2017-07-21T20:33:00Z</dcterms:modified>
</cp:coreProperties>
</file>