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FB4" w:rsidRPr="001A5FB4" w:rsidRDefault="001A5FB4" w:rsidP="001A5FB4">
      <w:pPr>
        <w:pStyle w:val="Default"/>
        <w:spacing w:line="276" w:lineRule="auto"/>
        <w:jc w:val="both"/>
        <w:rPr>
          <w:rFonts w:ascii="Arial" w:hAnsi="Arial" w:cs="Arial"/>
        </w:rPr>
      </w:pPr>
      <w:r w:rsidRPr="001A5FB4">
        <w:rPr>
          <w:rFonts w:ascii="Arial" w:hAnsi="Arial" w:cs="Arial"/>
          <w:b/>
        </w:rPr>
        <w:t>Título del Proyecto:</w:t>
      </w:r>
      <w:r w:rsidRPr="001A5FB4">
        <w:rPr>
          <w:rFonts w:ascii="Arial" w:hAnsi="Arial" w:cs="Arial"/>
        </w:rPr>
        <w:t xml:space="preserve"> </w:t>
      </w:r>
      <w:r>
        <w:rPr>
          <w:rFonts w:ascii="Arial" w:hAnsi="Arial" w:cs="Arial"/>
        </w:rPr>
        <w:t>E</w:t>
      </w:r>
      <w:r w:rsidRPr="001A5FB4">
        <w:rPr>
          <w:rFonts w:ascii="Arial" w:hAnsi="Arial" w:cs="Arial"/>
        </w:rPr>
        <w:t>stablecimiento de un</w:t>
      </w:r>
      <w:r>
        <w:rPr>
          <w:rFonts w:ascii="Arial" w:hAnsi="Arial" w:cs="Arial"/>
        </w:rPr>
        <w:t>a</w:t>
      </w:r>
      <w:r w:rsidRPr="001A5FB4">
        <w:rPr>
          <w:rFonts w:ascii="Arial" w:hAnsi="Arial" w:cs="Arial"/>
        </w:rPr>
        <w:t xml:space="preserve"> </w:t>
      </w:r>
      <w:r w:rsidR="009F086F">
        <w:rPr>
          <w:rFonts w:ascii="Arial" w:hAnsi="Arial" w:cs="Arial"/>
        </w:rPr>
        <w:t xml:space="preserve">planta productora de abono orgánico (HUMUS), como </w:t>
      </w:r>
      <w:r w:rsidRPr="001A5FB4">
        <w:rPr>
          <w:rFonts w:ascii="Arial" w:hAnsi="Arial" w:cs="Arial"/>
        </w:rPr>
        <w:t xml:space="preserve">emprendimiento productivo </w:t>
      </w:r>
      <w:r w:rsidR="009F086F">
        <w:rPr>
          <w:rFonts w:ascii="Arial" w:hAnsi="Arial" w:cs="Arial"/>
        </w:rPr>
        <w:t xml:space="preserve">de jóvenes estudiantes </w:t>
      </w:r>
      <w:bookmarkStart w:id="0" w:name="_GoBack"/>
      <w:bookmarkEnd w:id="0"/>
      <w:r w:rsidR="009F086F">
        <w:rPr>
          <w:rFonts w:ascii="Arial" w:hAnsi="Arial" w:cs="Arial"/>
        </w:rPr>
        <w:t>de secundaria.</w:t>
      </w:r>
    </w:p>
    <w:p w:rsidR="001A5FB4" w:rsidRPr="001A5FB4" w:rsidRDefault="001A5FB4" w:rsidP="001A5FB4">
      <w:pPr>
        <w:pStyle w:val="Default"/>
        <w:spacing w:line="276" w:lineRule="auto"/>
        <w:jc w:val="both"/>
        <w:rPr>
          <w:rFonts w:ascii="Arial" w:hAnsi="Arial" w:cs="Arial"/>
          <w:b/>
          <w:bCs/>
          <w:i/>
          <w:iCs/>
        </w:rPr>
      </w:pPr>
    </w:p>
    <w:p w:rsidR="001A5FB4" w:rsidRPr="001A5FB4" w:rsidRDefault="001A5FB4" w:rsidP="001A5FB4">
      <w:pPr>
        <w:pStyle w:val="Default"/>
        <w:spacing w:line="276" w:lineRule="auto"/>
        <w:jc w:val="both"/>
        <w:rPr>
          <w:rFonts w:ascii="Arial" w:hAnsi="Arial" w:cs="Arial"/>
          <w:bCs/>
          <w:iCs/>
        </w:rPr>
      </w:pPr>
      <w:r w:rsidRPr="001A5FB4">
        <w:rPr>
          <w:rFonts w:ascii="Arial" w:hAnsi="Arial" w:cs="Arial"/>
          <w:b/>
          <w:bCs/>
          <w:iCs/>
        </w:rPr>
        <w:t xml:space="preserve">Nombre: </w:t>
      </w:r>
      <w:r w:rsidRPr="001A5FB4">
        <w:rPr>
          <w:rFonts w:ascii="Arial" w:hAnsi="Arial" w:cs="Arial"/>
          <w:bCs/>
          <w:iCs/>
        </w:rPr>
        <w:t xml:space="preserve">Jesús </w:t>
      </w:r>
      <w:proofErr w:type="spellStart"/>
      <w:r w:rsidRPr="001A5FB4">
        <w:rPr>
          <w:rFonts w:ascii="Arial" w:hAnsi="Arial" w:cs="Arial"/>
          <w:bCs/>
          <w:iCs/>
        </w:rPr>
        <w:t>Alvaro</w:t>
      </w:r>
      <w:proofErr w:type="spellEnd"/>
      <w:r w:rsidRPr="001A5FB4">
        <w:rPr>
          <w:rFonts w:ascii="Arial" w:hAnsi="Arial" w:cs="Arial"/>
          <w:bCs/>
          <w:iCs/>
        </w:rPr>
        <w:t xml:space="preserve"> Cuéllar Calderón</w:t>
      </w:r>
    </w:p>
    <w:p w:rsidR="001A5FB4" w:rsidRPr="001A5FB4" w:rsidRDefault="001A5FB4" w:rsidP="001A5FB4">
      <w:pPr>
        <w:pStyle w:val="Default"/>
        <w:spacing w:line="276" w:lineRule="auto"/>
        <w:jc w:val="both"/>
        <w:rPr>
          <w:rFonts w:ascii="Arial" w:hAnsi="Arial" w:cs="Arial"/>
          <w:b/>
          <w:bCs/>
          <w:i/>
          <w:iCs/>
        </w:rPr>
      </w:pPr>
    </w:p>
    <w:p w:rsidR="001A5FB4" w:rsidRPr="001A5FB4" w:rsidRDefault="001A5FB4" w:rsidP="001A5FB4">
      <w:pPr>
        <w:pStyle w:val="Default"/>
        <w:spacing w:line="276" w:lineRule="auto"/>
        <w:jc w:val="both"/>
        <w:rPr>
          <w:rFonts w:ascii="Arial" w:hAnsi="Arial" w:cs="Arial"/>
          <w:b/>
          <w:bCs/>
          <w:iCs/>
        </w:rPr>
      </w:pPr>
      <w:r w:rsidRPr="001A5FB4">
        <w:rPr>
          <w:rFonts w:ascii="Arial" w:hAnsi="Arial" w:cs="Arial"/>
          <w:b/>
          <w:bCs/>
          <w:iCs/>
          <w:color w:val="auto"/>
        </w:rPr>
        <w:t>Matriz de Análisis FODA</w:t>
      </w:r>
    </w:p>
    <w:tbl>
      <w:tblPr>
        <w:tblW w:w="8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3543"/>
        <w:gridCol w:w="3402"/>
      </w:tblGrid>
      <w:tr w:rsidR="001A5FB4" w:rsidRPr="001A5FB4" w:rsidTr="001A5FB4">
        <w:trPr>
          <w:trHeight w:val="129"/>
        </w:trPr>
        <w:tc>
          <w:tcPr>
            <w:tcW w:w="1663" w:type="dxa"/>
          </w:tcPr>
          <w:p w:rsidR="001A5FB4" w:rsidRPr="001A5FB4" w:rsidRDefault="001A5FB4" w:rsidP="001A5FB4">
            <w:pPr>
              <w:pStyle w:val="Default"/>
              <w:spacing w:line="276" w:lineRule="auto"/>
              <w:jc w:val="both"/>
              <w:rPr>
                <w:rFonts w:ascii="Arial" w:hAnsi="Arial" w:cs="Arial"/>
              </w:rPr>
            </w:pPr>
            <w:r w:rsidRPr="001A5FB4">
              <w:rPr>
                <w:rFonts w:ascii="Arial" w:hAnsi="Arial" w:cs="Arial"/>
                <w:b/>
                <w:bCs/>
                <w:iCs/>
              </w:rPr>
              <w:t xml:space="preserve">CONTEXTO EXTERNO </w:t>
            </w:r>
          </w:p>
        </w:tc>
        <w:tc>
          <w:tcPr>
            <w:tcW w:w="3543" w:type="dxa"/>
          </w:tcPr>
          <w:p w:rsidR="001A5FB4" w:rsidRPr="001A5FB4" w:rsidRDefault="001A5FB4" w:rsidP="001A5FB4">
            <w:pPr>
              <w:pStyle w:val="Default"/>
              <w:spacing w:line="276" w:lineRule="auto"/>
              <w:jc w:val="both"/>
              <w:rPr>
                <w:rFonts w:ascii="Arial" w:hAnsi="Arial" w:cs="Arial"/>
                <w:b/>
                <w:iCs/>
              </w:rPr>
            </w:pPr>
            <w:r w:rsidRPr="001A5FB4">
              <w:rPr>
                <w:rFonts w:ascii="Arial" w:hAnsi="Arial" w:cs="Arial"/>
                <w:b/>
                <w:iCs/>
              </w:rPr>
              <w:t>Oportunidades</w:t>
            </w:r>
          </w:p>
          <w:p w:rsidR="001A5FB4" w:rsidRDefault="001A5FB4" w:rsidP="001A5FB4">
            <w:pPr>
              <w:pStyle w:val="Default"/>
              <w:numPr>
                <w:ilvl w:val="0"/>
                <w:numId w:val="1"/>
              </w:numPr>
              <w:spacing w:line="276" w:lineRule="auto"/>
              <w:ind w:left="175" w:hanging="175"/>
              <w:jc w:val="both"/>
              <w:rPr>
                <w:rFonts w:ascii="Arial" w:hAnsi="Arial" w:cs="Arial"/>
              </w:rPr>
            </w:pPr>
            <w:r>
              <w:rPr>
                <w:rFonts w:ascii="Arial" w:hAnsi="Arial" w:cs="Arial"/>
              </w:rPr>
              <w:t>Tendencia mundial a preservar el medio ambiente.</w:t>
            </w:r>
          </w:p>
          <w:p w:rsidR="001A5FB4" w:rsidRDefault="00AF3220" w:rsidP="00AF3220">
            <w:pPr>
              <w:pStyle w:val="Default"/>
              <w:numPr>
                <w:ilvl w:val="0"/>
                <w:numId w:val="1"/>
              </w:numPr>
              <w:spacing w:line="276" w:lineRule="auto"/>
              <w:ind w:left="175" w:hanging="175"/>
              <w:jc w:val="both"/>
              <w:rPr>
                <w:rFonts w:ascii="Arial" w:hAnsi="Arial" w:cs="Arial"/>
              </w:rPr>
            </w:pPr>
            <w:r>
              <w:rPr>
                <w:rFonts w:ascii="Arial" w:hAnsi="Arial" w:cs="Arial"/>
              </w:rPr>
              <w:t>Mercado local creciente en el empleo de abono orgánico.</w:t>
            </w:r>
          </w:p>
          <w:p w:rsidR="00AF3220" w:rsidRDefault="00827D4C" w:rsidP="00AF3220">
            <w:pPr>
              <w:pStyle w:val="Default"/>
              <w:numPr>
                <w:ilvl w:val="0"/>
                <w:numId w:val="1"/>
              </w:numPr>
              <w:spacing w:line="276" w:lineRule="auto"/>
              <w:ind w:left="175" w:hanging="175"/>
              <w:jc w:val="both"/>
              <w:rPr>
                <w:rFonts w:ascii="Arial" w:hAnsi="Arial" w:cs="Arial"/>
              </w:rPr>
            </w:pPr>
            <w:r>
              <w:rPr>
                <w:rFonts w:ascii="Arial" w:hAnsi="Arial" w:cs="Arial"/>
              </w:rPr>
              <w:t>Disponibilidad gratuita de materia prima para la producción.</w:t>
            </w:r>
          </w:p>
          <w:p w:rsidR="00827D4C" w:rsidRPr="001A5FB4" w:rsidRDefault="00CF59E8" w:rsidP="00AF3220">
            <w:pPr>
              <w:pStyle w:val="Default"/>
              <w:numPr>
                <w:ilvl w:val="0"/>
                <w:numId w:val="1"/>
              </w:numPr>
              <w:spacing w:line="276" w:lineRule="auto"/>
              <w:ind w:left="175" w:hanging="175"/>
              <w:jc w:val="both"/>
              <w:rPr>
                <w:rFonts w:ascii="Arial" w:hAnsi="Arial" w:cs="Arial"/>
              </w:rPr>
            </w:pPr>
            <w:r>
              <w:rPr>
                <w:rFonts w:ascii="Arial" w:hAnsi="Arial" w:cs="Arial"/>
              </w:rPr>
              <w:t>Predisposición de apoyo por parte de la Dirección de Medio Ambiente del Gob. Municipal.</w:t>
            </w:r>
          </w:p>
        </w:tc>
        <w:tc>
          <w:tcPr>
            <w:tcW w:w="3402" w:type="dxa"/>
          </w:tcPr>
          <w:p w:rsidR="001A5FB4" w:rsidRPr="001A5FB4" w:rsidRDefault="001A5FB4" w:rsidP="001A5FB4">
            <w:pPr>
              <w:pStyle w:val="Default"/>
              <w:spacing w:line="276" w:lineRule="auto"/>
              <w:jc w:val="both"/>
              <w:rPr>
                <w:rFonts w:ascii="Arial" w:hAnsi="Arial" w:cs="Arial"/>
                <w:b/>
                <w:iCs/>
              </w:rPr>
            </w:pPr>
            <w:r w:rsidRPr="001A5FB4">
              <w:rPr>
                <w:rFonts w:ascii="Arial" w:hAnsi="Arial" w:cs="Arial"/>
                <w:b/>
                <w:iCs/>
              </w:rPr>
              <w:t>Amenazas</w:t>
            </w:r>
          </w:p>
          <w:p w:rsidR="001A5FB4" w:rsidRDefault="00827D4C" w:rsidP="001A5FB4">
            <w:pPr>
              <w:pStyle w:val="Default"/>
              <w:numPr>
                <w:ilvl w:val="0"/>
                <w:numId w:val="1"/>
              </w:numPr>
              <w:spacing w:line="276" w:lineRule="auto"/>
              <w:ind w:left="175" w:hanging="175"/>
              <w:jc w:val="both"/>
              <w:rPr>
                <w:rFonts w:ascii="Arial" w:hAnsi="Arial" w:cs="Arial"/>
              </w:rPr>
            </w:pPr>
            <w:r>
              <w:rPr>
                <w:rFonts w:ascii="Arial" w:hAnsi="Arial" w:cs="Arial"/>
              </w:rPr>
              <w:t>Presencia de factores climáticos adversos.</w:t>
            </w:r>
          </w:p>
          <w:p w:rsidR="00827D4C" w:rsidRDefault="00827D4C" w:rsidP="00CF59E8">
            <w:pPr>
              <w:pStyle w:val="Default"/>
              <w:numPr>
                <w:ilvl w:val="0"/>
                <w:numId w:val="1"/>
              </w:numPr>
              <w:spacing w:line="276" w:lineRule="auto"/>
              <w:ind w:left="175" w:hanging="175"/>
              <w:jc w:val="both"/>
              <w:rPr>
                <w:rFonts w:ascii="Arial" w:hAnsi="Arial" w:cs="Arial"/>
              </w:rPr>
            </w:pPr>
            <w:r>
              <w:rPr>
                <w:rFonts w:ascii="Arial" w:hAnsi="Arial" w:cs="Arial"/>
              </w:rPr>
              <w:t>Emisión de leyes municipales que controlen la disposición de residuos sólidos en la ciudad.</w:t>
            </w:r>
          </w:p>
          <w:p w:rsidR="00CF59E8" w:rsidRDefault="00CF59E8" w:rsidP="00CF59E8">
            <w:pPr>
              <w:pStyle w:val="Default"/>
              <w:numPr>
                <w:ilvl w:val="0"/>
                <w:numId w:val="1"/>
              </w:numPr>
              <w:spacing w:line="276" w:lineRule="auto"/>
              <w:ind w:left="175" w:hanging="175"/>
              <w:jc w:val="both"/>
              <w:rPr>
                <w:rFonts w:ascii="Arial" w:hAnsi="Arial" w:cs="Arial"/>
              </w:rPr>
            </w:pPr>
            <w:r>
              <w:rPr>
                <w:rFonts w:ascii="Arial" w:hAnsi="Arial" w:cs="Arial"/>
              </w:rPr>
              <w:t>EMAS establezca una planta de reciclaje de basura.</w:t>
            </w:r>
          </w:p>
          <w:p w:rsidR="00CF59E8" w:rsidRPr="00CF59E8" w:rsidRDefault="00CF59E8" w:rsidP="00CF59E8">
            <w:pPr>
              <w:pStyle w:val="Default"/>
              <w:numPr>
                <w:ilvl w:val="0"/>
                <w:numId w:val="1"/>
              </w:numPr>
              <w:spacing w:line="276" w:lineRule="auto"/>
              <w:ind w:left="175" w:hanging="175"/>
              <w:jc w:val="both"/>
              <w:rPr>
                <w:rFonts w:ascii="Arial" w:hAnsi="Arial" w:cs="Arial"/>
              </w:rPr>
            </w:pPr>
            <w:r>
              <w:rPr>
                <w:rFonts w:ascii="Arial" w:hAnsi="Arial" w:cs="Arial"/>
              </w:rPr>
              <w:t>Políticas municipales restrictivas para el caso de emprendimientos económicos nuevos.</w:t>
            </w:r>
          </w:p>
        </w:tc>
      </w:tr>
      <w:tr w:rsidR="001A5FB4" w:rsidRPr="001A5FB4" w:rsidTr="001A5FB4">
        <w:trPr>
          <w:trHeight w:val="129"/>
        </w:trPr>
        <w:tc>
          <w:tcPr>
            <w:tcW w:w="1663" w:type="dxa"/>
          </w:tcPr>
          <w:p w:rsidR="001A5FB4" w:rsidRPr="001A5FB4" w:rsidRDefault="001A5FB4" w:rsidP="001A5FB4">
            <w:pPr>
              <w:pStyle w:val="Default"/>
              <w:spacing w:line="276" w:lineRule="auto"/>
              <w:jc w:val="both"/>
              <w:rPr>
                <w:rFonts w:ascii="Arial" w:hAnsi="Arial" w:cs="Arial"/>
              </w:rPr>
            </w:pPr>
            <w:r w:rsidRPr="001A5FB4">
              <w:rPr>
                <w:rFonts w:ascii="Arial" w:hAnsi="Arial" w:cs="Arial"/>
                <w:b/>
                <w:bCs/>
                <w:iCs/>
              </w:rPr>
              <w:t xml:space="preserve">CONTEXTO INTERNO </w:t>
            </w:r>
          </w:p>
        </w:tc>
        <w:tc>
          <w:tcPr>
            <w:tcW w:w="3543" w:type="dxa"/>
          </w:tcPr>
          <w:p w:rsidR="001A5FB4" w:rsidRPr="001A5FB4" w:rsidRDefault="001A5FB4" w:rsidP="001A5FB4">
            <w:pPr>
              <w:pStyle w:val="Default"/>
              <w:spacing w:line="276" w:lineRule="auto"/>
              <w:jc w:val="both"/>
              <w:rPr>
                <w:rFonts w:ascii="Arial" w:hAnsi="Arial" w:cs="Arial"/>
                <w:b/>
                <w:iCs/>
              </w:rPr>
            </w:pPr>
            <w:r w:rsidRPr="001A5FB4">
              <w:rPr>
                <w:rFonts w:ascii="Arial" w:hAnsi="Arial" w:cs="Arial"/>
                <w:b/>
                <w:iCs/>
              </w:rPr>
              <w:t>Fortalezas</w:t>
            </w:r>
          </w:p>
          <w:p w:rsidR="001A5FB4" w:rsidRDefault="001A5FB4" w:rsidP="001A5FB4">
            <w:pPr>
              <w:pStyle w:val="Default"/>
              <w:numPr>
                <w:ilvl w:val="0"/>
                <w:numId w:val="1"/>
              </w:numPr>
              <w:spacing w:line="276" w:lineRule="auto"/>
              <w:ind w:left="175" w:hanging="175"/>
              <w:jc w:val="both"/>
              <w:rPr>
                <w:rFonts w:ascii="Arial" w:hAnsi="Arial" w:cs="Arial"/>
              </w:rPr>
            </w:pPr>
            <w:r>
              <w:rPr>
                <w:rFonts w:ascii="Arial" w:hAnsi="Arial" w:cs="Arial"/>
              </w:rPr>
              <w:t>Voluntad y energía de estudiantes jóvenes.</w:t>
            </w:r>
          </w:p>
          <w:p w:rsidR="001A5FB4" w:rsidRDefault="001A5FB4" w:rsidP="001A5FB4">
            <w:pPr>
              <w:pStyle w:val="Default"/>
              <w:numPr>
                <w:ilvl w:val="0"/>
                <w:numId w:val="1"/>
              </w:numPr>
              <w:spacing w:line="276" w:lineRule="auto"/>
              <w:ind w:left="175" w:hanging="175"/>
              <w:jc w:val="both"/>
              <w:rPr>
                <w:rFonts w:ascii="Arial" w:hAnsi="Arial" w:cs="Arial"/>
              </w:rPr>
            </w:pPr>
            <w:r>
              <w:rPr>
                <w:rFonts w:ascii="Arial" w:hAnsi="Arial" w:cs="Arial"/>
              </w:rPr>
              <w:t>Predisposición a trabajar en equipo.</w:t>
            </w:r>
          </w:p>
          <w:p w:rsidR="001A5FB4" w:rsidRDefault="00AF3220" w:rsidP="001A5FB4">
            <w:pPr>
              <w:pStyle w:val="Default"/>
              <w:numPr>
                <w:ilvl w:val="0"/>
                <w:numId w:val="1"/>
              </w:numPr>
              <w:spacing w:line="276" w:lineRule="auto"/>
              <w:ind w:left="175" w:hanging="175"/>
              <w:jc w:val="both"/>
              <w:rPr>
                <w:rFonts w:ascii="Arial" w:hAnsi="Arial" w:cs="Arial"/>
              </w:rPr>
            </w:pPr>
            <w:r>
              <w:rPr>
                <w:rFonts w:ascii="Arial" w:hAnsi="Arial" w:cs="Arial"/>
              </w:rPr>
              <w:t xml:space="preserve">Alternativa de </w:t>
            </w:r>
            <w:r w:rsidR="00827D4C">
              <w:rPr>
                <w:rFonts w:ascii="Arial" w:hAnsi="Arial" w:cs="Arial"/>
              </w:rPr>
              <w:t>generación de ingresos familiares.</w:t>
            </w:r>
          </w:p>
          <w:p w:rsidR="00827D4C" w:rsidRDefault="00827D4C" w:rsidP="001A5FB4">
            <w:pPr>
              <w:pStyle w:val="Default"/>
              <w:numPr>
                <w:ilvl w:val="0"/>
                <w:numId w:val="1"/>
              </w:numPr>
              <w:spacing w:line="276" w:lineRule="auto"/>
              <w:ind w:left="175" w:hanging="175"/>
              <w:jc w:val="both"/>
              <w:rPr>
                <w:rFonts w:ascii="Arial" w:hAnsi="Arial" w:cs="Arial"/>
              </w:rPr>
            </w:pPr>
            <w:r>
              <w:rPr>
                <w:rFonts w:ascii="Arial" w:hAnsi="Arial" w:cs="Arial"/>
              </w:rPr>
              <w:t>Alternativa para controlar el deterioro del medio ambiente.</w:t>
            </w:r>
          </w:p>
          <w:p w:rsidR="00827D4C" w:rsidRPr="001A5FB4" w:rsidRDefault="00827D4C" w:rsidP="001A5FB4">
            <w:pPr>
              <w:pStyle w:val="Default"/>
              <w:numPr>
                <w:ilvl w:val="0"/>
                <w:numId w:val="1"/>
              </w:numPr>
              <w:spacing w:line="276" w:lineRule="auto"/>
              <w:ind w:left="175" w:hanging="175"/>
              <w:jc w:val="both"/>
              <w:rPr>
                <w:rFonts w:ascii="Arial" w:hAnsi="Arial" w:cs="Arial"/>
              </w:rPr>
            </w:pPr>
            <w:r>
              <w:rPr>
                <w:rFonts w:ascii="Arial" w:hAnsi="Arial" w:cs="Arial"/>
              </w:rPr>
              <w:t>Disponibilidad de un espacio físico para el establecimiento del emprendimiento.</w:t>
            </w:r>
          </w:p>
        </w:tc>
        <w:tc>
          <w:tcPr>
            <w:tcW w:w="3402" w:type="dxa"/>
          </w:tcPr>
          <w:p w:rsidR="001A5FB4" w:rsidRDefault="001A5FB4" w:rsidP="001A5FB4">
            <w:pPr>
              <w:pStyle w:val="Default"/>
              <w:spacing w:line="276" w:lineRule="auto"/>
              <w:jc w:val="both"/>
              <w:rPr>
                <w:rFonts w:ascii="Arial" w:hAnsi="Arial" w:cs="Arial"/>
                <w:iCs/>
              </w:rPr>
            </w:pPr>
            <w:r w:rsidRPr="001A5FB4">
              <w:rPr>
                <w:rFonts w:ascii="Arial" w:hAnsi="Arial" w:cs="Arial"/>
                <w:b/>
                <w:iCs/>
              </w:rPr>
              <w:t>Debilidades</w:t>
            </w:r>
          </w:p>
          <w:p w:rsidR="001A5FB4" w:rsidRDefault="001A5FB4" w:rsidP="001A5FB4">
            <w:pPr>
              <w:pStyle w:val="Default"/>
              <w:numPr>
                <w:ilvl w:val="0"/>
                <w:numId w:val="1"/>
              </w:numPr>
              <w:spacing w:line="276" w:lineRule="auto"/>
              <w:ind w:left="175" w:hanging="175"/>
              <w:jc w:val="both"/>
              <w:rPr>
                <w:rFonts w:ascii="Arial" w:hAnsi="Arial" w:cs="Arial"/>
              </w:rPr>
            </w:pPr>
            <w:r>
              <w:rPr>
                <w:rFonts w:ascii="Arial" w:hAnsi="Arial" w:cs="Arial"/>
              </w:rPr>
              <w:t>Desconocimiento de las técnicas y procedimientos operativos.</w:t>
            </w:r>
          </w:p>
          <w:p w:rsidR="001A5FB4" w:rsidRDefault="00AF3220" w:rsidP="001A5FB4">
            <w:pPr>
              <w:pStyle w:val="Default"/>
              <w:numPr>
                <w:ilvl w:val="0"/>
                <w:numId w:val="1"/>
              </w:numPr>
              <w:spacing w:line="276" w:lineRule="auto"/>
              <w:ind w:left="175" w:hanging="175"/>
              <w:jc w:val="both"/>
              <w:rPr>
                <w:rFonts w:ascii="Arial" w:hAnsi="Arial" w:cs="Arial"/>
              </w:rPr>
            </w:pPr>
            <w:r>
              <w:rPr>
                <w:rFonts w:ascii="Arial" w:hAnsi="Arial" w:cs="Arial"/>
              </w:rPr>
              <w:t>Capacidad de producción.</w:t>
            </w:r>
          </w:p>
          <w:p w:rsidR="00827D4C" w:rsidRDefault="00AF3220" w:rsidP="00CF59E8">
            <w:pPr>
              <w:pStyle w:val="Default"/>
              <w:numPr>
                <w:ilvl w:val="0"/>
                <w:numId w:val="1"/>
              </w:numPr>
              <w:spacing w:line="276" w:lineRule="auto"/>
              <w:ind w:left="175" w:hanging="175"/>
              <w:jc w:val="both"/>
              <w:rPr>
                <w:rFonts w:ascii="Arial" w:hAnsi="Arial" w:cs="Arial"/>
              </w:rPr>
            </w:pPr>
            <w:r>
              <w:rPr>
                <w:rFonts w:ascii="Arial" w:hAnsi="Arial" w:cs="Arial"/>
              </w:rPr>
              <w:t>Disponibilidad de recursos para iniciar el emprendimiento.</w:t>
            </w:r>
          </w:p>
          <w:p w:rsidR="00CF59E8" w:rsidRPr="00CF59E8" w:rsidRDefault="00CF59E8" w:rsidP="00CF59E8">
            <w:pPr>
              <w:pStyle w:val="Default"/>
              <w:spacing w:line="276" w:lineRule="auto"/>
              <w:ind w:left="175"/>
              <w:jc w:val="both"/>
              <w:rPr>
                <w:rFonts w:ascii="Arial" w:hAnsi="Arial" w:cs="Arial"/>
              </w:rPr>
            </w:pPr>
          </w:p>
        </w:tc>
      </w:tr>
    </w:tbl>
    <w:p w:rsidR="005835AD" w:rsidRPr="001A5FB4" w:rsidRDefault="005835AD" w:rsidP="001A5FB4">
      <w:pPr>
        <w:spacing w:after="0" w:line="276" w:lineRule="auto"/>
        <w:jc w:val="both"/>
        <w:rPr>
          <w:rFonts w:ascii="Arial" w:hAnsi="Arial" w:cs="Arial"/>
          <w:sz w:val="24"/>
          <w:szCs w:val="24"/>
        </w:rPr>
      </w:pPr>
    </w:p>
    <w:p w:rsidR="001A5FB4" w:rsidRDefault="001A5FB4" w:rsidP="001A5FB4">
      <w:pPr>
        <w:pStyle w:val="Default"/>
        <w:spacing w:after="211"/>
        <w:rPr>
          <w:b/>
          <w:bCs/>
          <w:iCs/>
          <w:sz w:val="22"/>
          <w:szCs w:val="22"/>
        </w:rPr>
      </w:pPr>
      <w:r w:rsidRPr="001A5FB4">
        <w:rPr>
          <w:b/>
          <w:bCs/>
          <w:iCs/>
          <w:sz w:val="22"/>
          <w:szCs w:val="22"/>
        </w:rPr>
        <w:t>Descripció</w:t>
      </w:r>
      <w:r>
        <w:rPr>
          <w:b/>
          <w:bCs/>
          <w:iCs/>
          <w:sz w:val="22"/>
          <w:szCs w:val="22"/>
        </w:rPr>
        <w:t>n de la cadena</w:t>
      </w:r>
    </w:p>
    <w:p w:rsidR="00CF59E8" w:rsidRDefault="00CF59E8" w:rsidP="00CF59E8">
      <w:pPr>
        <w:pStyle w:val="Default"/>
        <w:spacing w:after="211"/>
        <w:jc w:val="both"/>
        <w:rPr>
          <w:bCs/>
          <w:iCs/>
          <w:sz w:val="22"/>
          <w:szCs w:val="22"/>
        </w:rPr>
      </w:pPr>
      <w:r>
        <w:rPr>
          <w:bCs/>
          <w:iCs/>
          <w:sz w:val="22"/>
          <w:szCs w:val="22"/>
        </w:rPr>
        <w:t xml:space="preserve">La propuesta que se plantea, precisamente busca ampliar una cadena que aparentemente se encuentra cerrada, después de que los productos han cumplido con su ciclo y se constituyen en desechos, que sin embargo para los propósitos del presente proyecto llegan a constituirse en insumos y materia prima para iniciar una nueva cadena de producción por una parte a partir de la generación de un producto a ser incorporado en la dinámica del mercado local, bajo el criterio de preservación y conservación del medio ambiente, cumpliendo de esta manera con la triada de </w:t>
      </w:r>
      <w:r w:rsidR="00BF7E56">
        <w:rPr>
          <w:bCs/>
          <w:iCs/>
          <w:sz w:val="22"/>
          <w:szCs w:val="22"/>
        </w:rPr>
        <w:t>Reciclar, Reutilizar y Reducir.</w:t>
      </w:r>
    </w:p>
    <w:p w:rsidR="00CF59E8" w:rsidRPr="00CF59E8" w:rsidRDefault="00BF7E56" w:rsidP="00BF7E56">
      <w:pPr>
        <w:pStyle w:val="Default"/>
        <w:spacing w:after="211"/>
        <w:jc w:val="both"/>
        <w:rPr>
          <w:sz w:val="22"/>
          <w:szCs w:val="22"/>
        </w:rPr>
      </w:pPr>
      <w:r>
        <w:rPr>
          <w:bCs/>
          <w:iCs/>
          <w:sz w:val="22"/>
          <w:szCs w:val="22"/>
        </w:rPr>
        <w:lastRenderedPageBreak/>
        <w:t>Por otra parte, la cadena con la cual también se relaciona el proyecto es la de comercialización puesto que considera todos los eslabones desde el ingreso de la materia prima, pasando por la transformación, hasta llegar al consumidor final con un producto terminado.</w:t>
      </w:r>
    </w:p>
    <w:p w:rsidR="00BF7E56" w:rsidRDefault="001A5FB4" w:rsidP="00BF7E56">
      <w:pPr>
        <w:pStyle w:val="Default"/>
        <w:spacing w:after="211"/>
        <w:rPr>
          <w:b/>
          <w:bCs/>
          <w:iCs/>
          <w:sz w:val="22"/>
          <w:szCs w:val="22"/>
        </w:rPr>
      </w:pPr>
      <w:r>
        <w:rPr>
          <w:b/>
          <w:bCs/>
          <w:iCs/>
          <w:sz w:val="22"/>
          <w:szCs w:val="22"/>
        </w:rPr>
        <w:t>Conclusiones y recomendaciones</w:t>
      </w:r>
    </w:p>
    <w:p w:rsidR="00BF7E56" w:rsidRDefault="00BF7E56" w:rsidP="00CF59E8">
      <w:pPr>
        <w:spacing w:line="276" w:lineRule="auto"/>
        <w:jc w:val="both"/>
        <w:rPr>
          <w:rFonts w:ascii="Arial" w:hAnsi="Arial" w:cs="Arial"/>
        </w:rPr>
      </w:pPr>
      <w:r>
        <w:rPr>
          <w:rFonts w:ascii="Arial" w:hAnsi="Arial" w:cs="Arial"/>
        </w:rPr>
        <w:t>El emprendimiento que se pone en consideración, según el análisis FODA efectuado revela que las oportunidades que brinda el entorno en el cual se pretende establecer se constituye en la principal fuente de abastecimiento de materia prima, cuyo costo es relativamente bajo, casi nulo debido a que al ser desechos orgánicos, la labor de selección de la basura en origen permitirá disponer de los mismos debidamente clasificados.</w:t>
      </w:r>
    </w:p>
    <w:p w:rsidR="00BF7E56" w:rsidRDefault="00BF7E56" w:rsidP="00CF59E8">
      <w:pPr>
        <w:spacing w:line="276" w:lineRule="auto"/>
        <w:jc w:val="both"/>
        <w:rPr>
          <w:rFonts w:ascii="Arial" w:hAnsi="Arial" w:cs="Arial"/>
        </w:rPr>
      </w:pPr>
      <w:r>
        <w:rPr>
          <w:rFonts w:ascii="Arial" w:hAnsi="Arial" w:cs="Arial"/>
        </w:rPr>
        <w:t>Si bien una de las debilidades del grupo poblacional a ser involucrado en el emprendimiento es el desconocimiento de los aspectos técnicos para el tratamiento de los residuos sólidos orgánicos, este puede suplirse con la predisposición de la Dirección Municipal de Medio Ambiente para capacitar a los estudiantes sobre las técnicas y operaciones para el proceso de transformación, además de la voluntad de los jóvenes por iniciar un emprendimiento que les genere sus propios recursos.</w:t>
      </w:r>
    </w:p>
    <w:p w:rsidR="00CF59E8" w:rsidRPr="00C823DC" w:rsidRDefault="00BF7E56" w:rsidP="00FB252B">
      <w:pPr>
        <w:spacing w:line="276" w:lineRule="auto"/>
        <w:jc w:val="both"/>
        <w:rPr>
          <w:rFonts w:ascii="Arial" w:hAnsi="Arial" w:cs="Arial"/>
        </w:rPr>
      </w:pPr>
      <w:r>
        <w:rPr>
          <w:rFonts w:ascii="Arial" w:hAnsi="Arial" w:cs="Arial"/>
        </w:rPr>
        <w:t xml:space="preserve">En cuanto a las recomendaciones, </w:t>
      </w:r>
      <w:r w:rsidR="00FB252B">
        <w:rPr>
          <w:rFonts w:ascii="Arial" w:hAnsi="Arial" w:cs="Arial"/>
        </w:rPr>
        <w:t>se requiere que las autoridades municipales asuman la decisión política de incentivar emprendimientos de jóvenes como el que se plantea generando condiciones para su desarrollo.</w:t>
      </w:r>
    </w:p>
    <w:p w:rsidR="00CF59E8" w:rsidRPr="00CF59E8" w:rsidRDefault="00CF59E8" w:rsidP="001A5FB4">
      <w:pPr>
        <w:pStyle w:val="Default"/>
        <w:rPr>
          <w:sz w:val="22"/>
          <w:szCs w:val="22"/>
        </w:rPr>
      </w:pPr>
    </w:p>
    <w:sectPr w:rsidR="00CF59E8" w:rsidRPr="00CF59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aleway">
    <w:altName w:val="Raleway"/>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F50787"/>
    <w:multiLevelType w:val="hybridMultilevel"/>
    <w:tmpl w:val="DB446E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FB4"/>
    <w:rsid w:val="00183A64"/>
    <w:rsid w:val="001A5FB4"/>
    <w:rsid w:val="00444D62"/>
    <w:rsid w:val="004B7637"/>
    <w:rsid w:val="005835AD"/>
    <w:rsid w:val="00823996"/>
    <w:rsid w:val="00827D4C"/>
    <w:rsid w:val="00840E80"/>
    <w:rsid w:val="0086337B"/>
    <w:rsid w:val="009F086F"/>
    <w:rsid w:val="00A86C99"/>
    <w:rsid w:val="00A95019"/>
    <w:rsid w:val="00AF3220"/>
    <w:rsid w:val="00BF7E56"/>
    <w:rsid w:val="00CF59E8"/>
    <w:rsid w:val="00FB25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BE92F-61AE-4EE5-89C5-1C2BE78E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A5FB4"/>
    <w:pPr>
      <w:autoSpaceDE w:val="0"/>
      <w:autoSpaceDN w:val="0"/>
      <w:adjustRightInd w:val="0"/>
      <w:spacing w:after="0" w:line="240" w:lineRule="auto"/>
    </w:pPr>
    <w:rPr>
      <w:rFonts w:ascii="Raleway" w:hAnsi="Raleway" w:cs="Ralewa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506</Words>
  <Characters>2783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Escorpion Negro</dc:creator>
  <cp:keywords/>
  <dc:description/>
  <cp:lastModifiedBy>Escorpion Negro</cp:lastModifiedBy>
  <cp:revision>3</cp:revision>
  <dcterms:created xsi:type="dcterms:W3CDTF">2017-08-07T22:52:00Z</dcterms:created>
  <dcterms:modified xsi:type="dcterms:W3CDTF">2017-08-08T00:27:00Z</dcterms:modified>
</cp:coreProperties>
</file>