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782" w:rsidRPr="00054782" w:rsidRDefault="00054782" w:rsidP="00054782">
      <w:pPr>
        <w:jc w:val="center"/>
        <w:rPr>
          <w:rFonts w:ascii="Arial" w:hAnsi="Arial" w:cs="Arial"/>
          <w:b/>
          <w:sz w:val="32"/>
          <w:szCs w:val="32"/>
        </w:rPr>
      </w:pPr>
      <w:r w:rsidRPr="00054782">
        <w:rPr>
          <w:rFonts w:ascii="Arial" w:hAnsi="Arial" w:cs="Arial"/>
          <w:b/>
          <w:sz w:val="32"/>
          <w:szCs w:val="32"/>
        </w:rPr>
        <w:t>FORO 2</w:t>
      </w:r>
    </w:p>
    <w:p w:rsidR="00054782" w:rsidRDefault="00054782" w:rsidP="00054782">
      <w:pPr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PARTICIPANTE IVAN SAN MIGUEL TICONA</w:t>
      </w:r>
    </w:p>
    <w:p w:rsidR="00054782" w:rsidRDefault="00054782" w:rsidP="009D7B2F">
      <w:pPr>
        <w:jc w:val="both"/>
        <w:rPr>
          <w:rFonts w:ascii="Arial" w:hAnsi="Arial" w:cs="Arial"/>
        </w:rPr>
      </w:pPr>
    </w:p>
    <w:p w:rsidR="004E1DFF" w:rsidRDefault="009D7B2F" w:rsidP="009D7B2F">
      <w:pPr>
        <w:jc w:val="both"/>
        <w:rPr>
          <w:rFonts w:ascii="Arial" w:hAnsi="Arial" w:cs="Arial"/>
        </w:rPr>
      </w:pPr>
      <w:r w:rsidRPr="009D7B2F">
        <w:rPr>
          <w:rFonts w:ascii="Arial" w:hAnsi="Arial" w:cs="Arial"/>
        </w:rPr>
        <w:t>¿Cómo se configura el proceso histórico de la seguridad aliment</w:t>
      </w:r>
      <w:r w:rsidR="004E1DFF">
        <w:rPr>
          <w:rFonts w:ascii="Arial" w:hAnsi="Arial" w:cs="Arial"/>
        </w:rPr>
        <w:t xml:space="preserve">aria con soberanía en Bolivia? </w:t>
      </w:r>
    </w:p>
    <w:p w:rsidR="009D7B2F" w:rsidRDefault="00193C17" w:rsidP="009D7B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Para responder la pregunta, haremos referencia a la siguiente información que nos permitirá realizar un análisis del proceso histórico de la seguridad alimentaria, esto de acuerdo a las 3 etapas mencionadas en el documento “Marco histórico, legal y política pública sobre seguridad alimentaria con soberanía”.</w:t>
      </w:r>
    </w:p>
    <w:p w:rsidR="00193C17" w:rsidRDefault="00193C17" w:rsidP="009D7B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Etapa 1: </w:t>
      </w:r>
      <w:r w:rsidRPr="00193C17">
        <w:rPr>
          <w:rFonts w:ascii="Arial" w:hAnsi="Arial" w:cs="Arial"/>
        </w:rPr>
        <w:t>Gobiernos de la Revolución Nacional (1952 - 1964)</w:t>
      </w:r>
    </w:p>
    <w:p w:rsidR="00193C17" w:rsidRDefault="009400F2" w:rsidP="009400F2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9400F2">
        <w:rPr>
          <w:rFonts w:ascii="Arial" w:hAnsi="Arial" w:cs="Arial"/>
        </w:rPr>
        <w:t>Se gestó la</w:t>
      </w:r>
      <w:r w:rsidR="00193C17" w:rsidRPr="009400F2">
        <w:rPr>
          <w:rFonts w:ascii="Arial" w:hAnsi="Arial" w:cs="Arial"/>
        </w:rPr>
        <w:t xml:space="preserve"> Revolución</w:t>
      </w:r>
      <w:r w:rsidRPr="009400F2">
        <w:rPr>
          <w:rFonts w:ascii="Arial" w:hAnsi="Arial" w:cs="Arial"/>
        </w:rPr>
        <w:t xml:space="preserve"> nacional del 52 con los siguientes objetivos principales: 1) </w:t>
      </w:r>
      <w:r w:rsidR="00193C17" w:rsidRPr="009400F2">
        <w:rPr>
          <w:rFonts w:ascii="Arial" w:hAnsi="Arial" w:cs="Arial"/>
        </w:rPr>
        <w:t>La modernizació</w:t>
      </w:r>
      <w:r w:rsidRPr="009400F2">
        <w:rPr>
          <w:rFonts w:ascii="Arial" w:hAnsi="Arial" w:cs="Arial"/>
        </w:rPr>
        <w:t xml:space="preserve">n de las estructuras del Estado, 2) </w:t>
      </w:r>
      <w:r w:rsidR="00193C17" w:rsidRPr="009400F2">
        <w:rPr>
          <w:rFonts w:ascii="Arial" w:hAnsi="Arial" w:cs="Arial"/>
        </w:rPr>
        <w:t>La promoción de for</w:t>
      </w:r>
      <w:r w:rsidRPr="009400F2">
        <w:rPr>
          <w:rFonts w:ascii="Arial" w:hAnsi="Arial" w:cs="Arial"/>
        </w:rPr>
        <w:t xml:space="preserve">mas capitalistas en la economía, y 3) </w:t>
      </w:r>
      <w:r w:rsidR="00193C17" w:rsidRPr="009400F2">
        <w:rPr>
          <w:rFonts w:ascii="Arial" w:hAnsi="Arial" w:cs="Arial"/>
        </w:rPr>
        <w:t>La liberación de las poblaciones indígenas de las relaciones de servidumbre de</w:t>
      </w:r>
      <w:r w:rsidRPr="009400F2">
        <w:rPr>
          <w:rFonts w:ascii="Arial" w:hAnsi="Arial" w:cs="Arial"/>
        </w:rPr>
        <w:t xml:space="preserve"> </w:t>
      </w:r>
      <w:r w:rsidR="00193C17" w:rsidRPr="009400F2">
        <w:rPr>
          <w:rFonts w:ascii="Arial" w:hAnsi="Arial" w:cs="Arial"/>
        </w:rPr>
        <w:t>las haciendas con el fin de incorporarlas a la sociedad nacional.</w:t>
      </w:r>
    </w:p>
    <w:p w:rsidR="009400F2" w:rsidRDefault="009400F2" w:rsidP="00E42A93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9400F2">
        <w:rPr>
          <w:rFonts w:ascii="Arial" w:hAnsi="Arial" w:cs="Arial"/>
        </w:rPr>
        <w:t>Se creó un Estado corporativo de “alianza de clases” entre trabajadores, transportistas, cooperativistas, docentes, campesinos y empresarios</w:t>
      </w:r>
      <w:r>
        <w:rPr>
          <w:rFonts w:ascii="Arial" w:hAnsi="Arial" w:cs="Arial"/>
        </w:rPr>
        <w:t>.</w:t>
      </w:r>
    </w:p>
    <w:p w:rsidR="009400F2" w:rsidRDefault="009400F2" w:rsidP="00537E6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9400F2">
        <w:rPr>
          <w:rFonts w:ascii="Arial" w:hAnsi="Arial" w:cs="Arial"/>
        </w:rPr>
        <w:t>El gobierno revolucionario no tuvo simpatía por las estructuras comunitarias ancestrales, consideradas sinónimo de atraso</w:t>
      </w:r>
      <w:r>
        <w:rPr>
          <w:rFonts w:ascii="Arial" w:hAnsi="Arial" w:cs="Arial"/>
        </w:rPr>
        <w:t>.</w:t>
      </w:r>
    </w:p>
    <w:p w:rsidR="009400F2" w:rsidRDefault="009400F2" w:rsidP="009400F2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Se realizó entrega de parcelas de forma individual.</w:t>
      </w:r>
    </w:p>
    <w:p w:rsidR="00193C17" w:rsidRDefault="009400F2" w:rsidP="009400F2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9400F2">
        <w:rPr>
          <w:rFonts w:ascii="Arial" w:hAnsi="Arial" w:cs="Arial"/>
        </w:rPr>
        <w:t>Se crearon como órganos ejecutivos en tema tierra 1) El Consejo Nacional de Reforma Agraria (CNRA), y 2) El Instituto Nacional de Colonización</w:t>
      </w:r>
      <w:r>
        <w:rPr>
          <w:rFonts w:ascii="Arial" w:hAnsi="Arial" w:cs="Arial"/>
        </w:rPr>
        <w:t>.</w:t>
      </w:r>
    </w:p>
    <w:p w:rsidR="009400F2" w:rsidRPr="009400F2" w:rsidRDefault="009400F2" w:rsidP="009400F2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9400F2">
        <w:rPr>
          <w:rFonts w:ascii="Arial" w:hAnsi="Arial" w:cs="Arial"/>
        </w:rPr>
        <w:t>La población indígena del oriente boliviano fueron excluidos de estas medidas de la revolución del 52 y no se les reconoció el status de ciudadanos o sujetos de derechos.</w:t>
      </w:r>
    </w:p>
    <w:p w:rsidR="009400F2" w:rsidRDefault="009400F2" w:rsidP="009400F2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La reforma agraria no aspiró a la distribución de la tierra de forma equitativa, se manejaron 3 tipos de propiedad.</w:t>
      </w:r>
    </w:p>
    <w:p w:rsidR="009400F2" w:rsidRDefault="009400F2" w:rsidP="00EF1B7A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9400F2">
        <w:rPr>
          <w:rFonts w:ascii="Arial" w:hAnsi="Arial" w:cs="Arial"/>
        </w:rPr>
        <w:t>El verdadero propósito de fondo de la Reforma Agraria era introducir el capitalismo al agro por lo que privilegiab</w:t>
      </w:r>
      <w:r>
        <w:rPr>
          <w:rFonts w:ascii="Arial" w:hAnsi="Arial" w:cs="Arial"/>
        </w:rPr>
        <w:t>a principalmente a la propiedad empresaria</w:t>
      </w:r>
      <w:r w:rsidR="00460053">
        <w:rPr>
          <w:rFonts w:ascii="Arial" w:hAnsi="Arial" w:cs="Arial"/>
        </w:rPr>
        <w:t>.</w:t>
      </w:r>
    </w:p>
    <w:p w:rsidR="00460053" w:rsidRDefault="00460053" w:rsidP="00650A1E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6035CC">
        <w:rPr>
          <w:rFonts w:ascii="Arial" w:hAnsi="Arial" w:cs="Arial"/>
        </w:rPr>
        <w:t>La producción de los pequeños agricultores campesinos al abastecimiento con</w:t>
      </w:r>
      <w:r w:rsidR="006035CC" w:rsidRPr="006035CC">
        <w:rPr>
          <w:rFonts w:ascii="Arial" w:hAnsi="Arial" w:cs="Arial"/>
        </w:rPr>
        <w:t xml:space="preserve"> </w:t>
      </w:r>
      <w:r w:rsidRPr="006035CC">
        <w:rPr>
          <w:rFonts w:ascii="Arial" w:hAnsi="Arial" w:cs="Arial"/>
        </w:rPr>
        <w:t>alimentos para la población fue persistent</w:t>
      </w:r>
      <w:r w:rsidR="006035CC">
        <w:rPr>
          <w:rFonts w:ascii="Arial" w:hAnsi="Arial" w:cs="Arial"/>
        </w:rPr>
        <w:t>emente subestimado.</w:t>
      </w:r>
    </w:p>
    <w:p w:rsidR="006035CC" w:rsidRPr="006035CC" w:rsidRDefault="006035CC" w:rsidP="00650A1E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</w:p>
    <w:p w:rsidR="009D7B2F" w:rsidRDefault="006035CC" w:rsidP="009D7B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Etapa 2: </w:t>
      </w:r>
      <w:r w:rsidRPr="006035CC">
        <w:rPr>
          <w:rFonts w:ascii="Arial" w:hAnsi="Arial" w:cs="Arial"/>
        </w:rPr>
        <w:t>Gobiernos Militares de Facto (1964 – 1982)</w:t>
      </w:r>
    </w:p>
    <w:p w:rsidR="006035CC" w:rsidRDefault="006035CC" w:rsidP="006035CC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6035CC">
        <w:rPr>
          <w:rFonts w:ascii="Arial" w:hAnsi="Arial" w:cs="Arial"/>
        </w:rPr>
        <w:t>Durante el periodo quedaron suspendidos los derechos civiles y la libertad de expresión.</w:t>
      </w:r>
    </w:p>
    <w:p w:rsidR="006035CC" w:rsidRPr="006035CC" w:rsidRDefault="006035CC" w:rsidP="00225C08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6035CC">
        <w:rPr>
          <w:rFonts w:ascii="Arial" w:hAnsi="Arial" w:cs="Arial"/>
        </w:rPr>
        <w:t>En las comunidades campesinas de la región andina y de colonización se desatendieron las necesidades de asistencia técnica, infraestructura y el acceso a mercados seguros.</w:t>
      </w:r>
    </w:p>
    <w:p w:rsidR="006035CC" w:rsidRDefault="006035CC" w:rsidP="0071608F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6035CC">
        <w:rPr>
          <w:rFonts w:ascii="Arial" w:hAnsi="Arial" w:cs="Arial"/>
        </w:rPr>
        <w:t xml:space="preserve">En las tierras bajas el gobierno procedió a la dotación de grandes extensiones de tierras forestales “baldías y ociosas” a pocos propietarios de su clientela </w:t>
      </w:r>
      <w:r>
        <w:rPr>
          <w:rFonts w:ascii="Arial" w:hAnsi="Arial" w:cs="Arial"/>
        </w:rPr>
        <w:t>política.</w:t>
      </w:r>
    </w:p>
    <w:p w:rsidR="006035CC" w:rsidRDefault="006035CC" w:rsidP="005B0E4B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6035CC">
        <w:rPr>
          <w:rFonts w:ascii="Arial" w:hAnsi="Arial" w:cs="Arial"/>
        </w:rPr>
        <w:lastRenderedPageBreak/>
        <w:t>El CNRA y el INC entraron a una etapa de corrupción dando lugar al mercado informal de tierras y a un nuevo lat</w:t>
      </w:r>
      <w:r>
        <w:rPr>
          <w:rFonts w:ascii="Arial" w:hAnsi="Arial" w:cs="Arial"/>
        </w:rPr>
        <w:t>ifundio de tipo especulativo.</w:t>
      </w:r>
    </w:p>
    <w:p w:rsidR="006035CC" w:rsidRDefault="006035CC" w:rsidP="00557F72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6035CC">
        <w:rPr>
          <w:rFonts w:ascii="Arial" w:hAnsi="Arial" w:cs="Arial"/>
        </w:rPr>
        <w:t xml:space="preserve">Se fomentó las cooperativas agropecuarias de tipo empresarial </w:t>
      </w:r>
      <w:r>
        <w:rPr>
          <w:rFonts w:ascii="Arial" w:hAnsi="Arial" w:cs="Arial"/>
        </w:rPr>
        <w:t>que en fondo obtuvieron tierras y créditos que no se devolvieron</w:t>
      </w:r>
    </w:p>
    <w:p w:rsidR="006035CC" w:rsidRDefault="00DB1C7E" w:rsidP="00B0494D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DB1C7E">
        <w:rPr>
          <w:rFonts w:ascii="Arial" w:hAnsi="Arial" w:cs="Arial"/>
        </w:rPr>
        <w:t>En este contexto, la agroindustria no pudo desarrollarse plenamente</w:t>
      </w:r>
      <w:r>
        <w:rPr>
          <w:rFonts w:ascii="Arial" w:hAnsi="Arial" w:cs="Arial"/>
        </w:rPr>
        <w:t>.</w:t>
      </w:r>
    </w:p>
    <w:p w:rsidR="00DB1C7E" w:rsidRPr="00DB1C7E" w:rsidRDefault="00DB1C7E" w:rsidP="00DB1C7E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DB1C7E">
        <w:rPr>
          <w:rFonts w:ascii="Arial" w:hAnsi="Arial" w:cs="Arial"/>
        </w:rPr>
        <w:t xml:space="preserve">Los pueblos indígenas de las tierras bajas jugaron un papel de peones carentes de </w:t>
      </w:r>
      <w:r>
        <w:rPr>
          <w:rFonts w:ascii="Arial" w:hAnsi="Arial" w:cs="Arial"/>
        </w:rPr>
        <w:t>derechos civiles y laborales.</w:t>
      </w:r>
    </w:p>
    <w:p w:rsidR="009D7B2F" w:rsidRPr="009D7B2F" w:rsidRDefault="00DB1C7E" w:rsidP="006035C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Etapa 3: </w:t>
      </w:r>
      <w:r w:rsidRPr="00DB1C7E">
        <w:rPr>
          <w:rFonts w:ascii="Arial" w:hAnsi="Arial" w:cs="Arial"/>
        </w:rPr>
        <w:t>Periodo “neoliberal” (1982 – 2005)</w:t>
      </w:r>
    </w:p>
    <w:p w:rsidR="009D7B2F" w:rsidRDefault="00994F29" w:rsidP="00E65EFF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DB1C7E" w:rsidRPr="00994F29">
        <w:rPr>
          <w:rFonts w:ascii="Arial" w:hAnsi="Arial" w:cs="Arial"/>
        </w:rPr>
        <w:t>os campesinos andinos, en 1979, reconstruyeron la CSUTCB, y su brazo femenino, FNMCB”BS”, proclamando su independencia respecto a los</w:t>
      </w:r>
      <w:r w:rsidRPr="00994F29">
        <w:rPr>
          <w:rFonts w:ascii="Arial" w:hAnsi="Arial" w:cs="Arial"/>
        </w:rPr>
        <w:t xml:space="preserve"> </w:t>
      </w:r>
      <w:r w:rsidR="00DB1C7E" w:rsidRPr="00994F29">
        <w:rPr>
          <w:rFonts w:ascii="Arial" w:hAnsi="Arial" w:cs="Arial"/>
        </w:rPr>
        <w:t>partidos políticos.</w:t>
      </w:r>
    </w:p>
    <w:p w:rsidR="00994F29" w:rsidRPr="00994F29" w:rsidRDefault="00994F29" w:rsidP="001105B2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994F29">
        <w:rPr>
          <w:rFonts w:ascii="Arial" w:hAnsi="Arial" w:cs="Arial"/>
        </w:rPr>
        <w:t>La CSUTCB formuló la propuesta de Ley Agraria Fundamental (LAF) que postula la recuperación de las formas comunitarias de administración de las tierras y de las tecnologías tradicionales.</w:t>
      </w:r>
    </w:p>
    <w:p w:rsidR="00994F29" w:rsidRDefault="00994F29" w:rsidP="00994F29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crean las </w:t>
      </w:r>
      <w:proofErr w:type="spellStart"/>
      <w:r>
        <w:rPr>
          <w:rFonts w:ascii="Arial" w:hAnsi="Arial" w:cs="Arial"/>
        </w:rPr>
        <w:t>CORACAs</w:t>
      </w:r>
      <w:proofErr w:type="spellEnd"/>
      <w:r>
        <w:rPr>
          <w:rFonts w:ascii="Arial" w:hAnsi="Arial" w:cs="Arial"/>
        </w:rPr>
        <w:t xml:space="preserve"> como brazo económico de las comunidades.</w:t>
      </w:r>
    </w:p>
    <w:p w:rsidR="00994F29" w:rsidRDefault="00BF2DE8" w:rsidP="00994F29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En</w:t>
      </w:r>
      <w:r w:rsidR="00994F29">
        <w:rPr>
          <w:rFonts w:ascii="Arial" w:hAnsi="Arial" w:cs="Arial"/>
        </w:rPr>
        <w:t xml:space="preserve"> 1982 se crea la CIDOB, representando a todos los pueblos indígenas del oriente boliviano.</w:t>
      </w:r>
    </w:p>
    <w:p w:rsidR="00994F29" w:rsidRPr="000756DC" w:rsidRDefault="000756DC" w:rsidP="00D343EE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0756DC">
        <w:rPr>
          <w:rFonts w:ascii="Arial" w:hAnsi="Arial" w:cs="Arial"/>
        </w:rPr>
        <w:t>S</w:t>
      </w:r>
      <w:r w:rsidR="00994F29" w:rsidRPr="000756DC">
        <w:rPr>
          <w:rFonts w:ascii="Arial" w:hAnsi="Arial" w:cs="Arial"/>
        </w:rPr>
        <w:t>e promulgó el Decreto Supremo 21060 que contiene los “ajustes</w:t>
      </w:r>
      <w:r w:rsidRPr="000756DC">
        <w:rPr>
          <w:rFonts w:ascii="Arial" w:hAnsi="Arial" w:cs="Arial"/>
        </w:rPr>
        <w:t xml:space="preserve"> estructurales”, se “flexibiliza </w:t>
      </w:r>
      <w:r w:rsidR="00994F29" w:rsidRPr="000756DC">
        <w:rPr>
          <w:rFonts w:ascii="Arial" w:hAnsi="Arial" w:cs="Arial"/>
        </w:rPr>
        <w:t>el mercado laboral”:</w:t>
      </w:r>
      <w:r w:rsidRPr="000756DC">
        <w:rPr>
          <w:rFonts w:ascii="Arial" w:hAnsi="Arial" w:cs="Arial"/>
        </w:rPr>
        <w:t xml:space="preserve"> Con los siguientes componentes: 1) Se a</w:t>
      </w:r>
      <w:r w:rsidR="00994F29" w:rsidRPr="000756DC">
        <w:rPr>
          <w:rFonts w:ascii="Arial" w:hAnsi="Arial" w:cs="Arial"/>
        </w:rPr>
        <w:t>nuló ampliamente las conquistas y derechos de los trabajadores</w:t>
      </w:r>
      <w:r w:rsidRPr="000756DC">
        <w:rPr>
          <w:rFonts w:ascii="Arial" w:hAnsi="Arial" w:cs="Arial"/>
        </w:rPr>
        <w:t xml:space="preserve">, 2) </w:t>
      </w:r>
      <w:r w:rsidR="00994F29" w:rsidRPr="000756DC">
        <w:rPr>
          <w:rFonts w:ascii="Arial" w:hAnsi="Arial" w:cs="Arial"/>
        </w:rPr>
        <w:t>Se procedió a la privatización de las empresas públicas, incluyendo a las más</w:t>
      </w:r>
      <w:r w:rsidRPr="000756DC">
        <w:rPr>
          <w:rFonts w:ascii="Arial" w:hAnsi="Arial" w:cs="Arial"/>
        </w:rPr>
        <w:t xml:space="preserve"> rentables, 3) </w:t>
      </w:r>
      <w:r w:rsidR="00994F29" w:rsidRPr="000756DC">
        <w:rPr>
          <w:rFonts w:ascii="Arial" w:hAnsi="Arial" w:cs="Arial"/>
        </w:rPr>
        <w:t>El Estado se retiró de los programas de asistencia social entregándolos a</w:t>
      </w:r>
      <w:r w:rsidRPr="000756DC">
        <w:rPr>
          <w:rFonts w:ascii="Arial" w:hAnsi="Arial" w:cs="Arial"/>
        </w:rPr>
        <w:t xml:space="preserve"> </w:t>
      </w:r>
      <w:r w:rsidR="00994F29" w:rsidRPr="000756DC">
        <w:rPr>
          <w:rFonts w:ascii="Arial" w:hAnsi="Arial" w:cs="Arial"/>
        </w:rPr>
        <w:t>ac</w:t>
      </w:r>
      <w:r w:rsidRPr="000756DC">
        <w:rPr>
          <w:rFonts w:ascii="Arial" w:hAnsi="Arial" w:cs="Arial"/>
        </w:rPr>
        <w:t xml:space="preserve">tores privados, 4) </w:t>
      </w:r>
      <w:r w:rsidR="00994F29" w:rsidRPr="000756DC">
        <w:rPr>
          <w:rFonts w:ascii="Arial" w:hAnsi="Arial" w:cs="Arial"/>
        </w:rPr>
        <w:t xml:space="preserve"> La desregularización de los precios para alimentos condujo a una carestía</w:t>
      </w:r>
      <w:r w:rsidRPr="000756DC">
        <w:rPr>
          <w:rFonts w:ascii="Arial" w:hAnsi="Arial" w:cs="Arial"/>
        </w:rPr>
        <w:t xml:space="preserve"> </w:t>
      </w:r>
      <w:r w:rsidR="00994F29" w:rsidRPr="000756DC">
        <w:rPr>
          <w:rFonts w:ascii="Arial" w:hAnsi="Arial" w:cs="Arial"/>
        </w:rPr>
        <w:t>generalizada y a un mayor flujo migratorio de campesinos a los centros</w:t>
      </w:r>
      <w:r w:rsidRPr="000756DC">
        <w:rPr>
          <w:rFonts w:ascii="Arial" w:hAnsi="Arial" w:cs="Arial"/>
        </w:rPr>
        <w:t xml:space="preserve"> </w:t>
      </w:r>
      <w:r w:rsidR="00994F29" w:rsidRPr="000756DC">
        <w:rPr>
          <w:rFonts w:ascii="Arial" w:hAnsi="Arial" w:cs="Arial"/>
        </w:rPr>
        <w:t>urbanos o al exterior.</w:t>
      </w:r>
    </w:p>
    <w:p w:rsidR="00994F29" w:rsidRDefault="00A16BA1" w:rsidP="00F5064B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A16BA1">
        <w:rPr>
          <w:rFonts w:ascii="Arial" w:hAnsi="Arial" w:cs="Arial"/>
        </w:rPr>
        <w:t>Se promulgó una serie de leyes de “segunda generación”. Entre ellas sobresalen: la Ley de Participación Popular (1992), la Ley de Medio Ambiente (1992), Ley de Reforma Educativa (1994), la Ley Forestal (1996) y la nueva ley agraria, denominada Ley INRA (1996).</w:t>
      </w:r>
    </w:p>
    <w:p w:rsidR="00A16BA1" w:rsidRDefault="00A16BA1" w:rsidP="00F5064B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Se incluye la figura de la TCO en la dotación de tierras a indígenas de tierras bajas y altas.</w:t>
      </w:r>
    </w:p>
    <w:p w:rsidR="004E1DFF" w:rsidRDefault="004E1DFF" w:rsidP="00A16B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Después de realizar una síntesis de las etapas mencionadas, las cuales concluyen o son base para la formulación de la Nueva Constitución Política del Estado y sus diferentes normas, respondemos a la incidencia en la normativa actual.</w:t>
      </w:r>
    </w:p>
    <w:p w:rsidR="00A16BA1" w:rsidRPr="00A16BA1" w:rsidRDefault="004E1DFF" w:rsidP="00A16BA1">
      <w:pPr>
        <w:jc w:val="both"/>
        <w:rPr>
          <w:rFonts w:ascii="Arial" w:hAnsi="Arial" w:cs="Arial"/>
        </w:rPr>
      </w:pPr>
      <w:r w:rsidRPr="004E1DFF">
        <w:rPr>
          <w:rFonts w:ascii="Arial" w:hAnsi="Arial" w:cs="Arial"/>
        </w:rPr>
        <w:t>¿Cómo incide en las normas actuales?</w:t>
      </w:r>
    </w:p>
    <w:p w:rsidR="004E1DFF" w:rsidRPr="004E1DFF" w:rsidRDefault="004E1DFF" w:rsidP="00A16BA1">
      <w:pPr>
        <w:jc w:val="both"/>
        <w:rPr>
          <w:rFonts w:ascii="Arial" w:hAnsi="Arial" w:cs="Arial"/>
        </w:rPr>
      </w:pPr>
      <w:r w:rsidRPr="004E1DFF">
        <w:rPr>
          <w:rFonts w:ascii="Arial" w:hAnsi="Arial" w:cs="Arial"/>
        </w:rPr>
        <w:t xml:space="preserve">Todo el </w:t>
      </w:r>
      <w:r w:rsidR="00A16BA1" w:rsidRPr="004E1DFF">
        <w:rPr>
          <w:rFonts w:ascii="Arial" w:hAnsi="Arial" w:cs="Arial"/>
        </w:rPr>
        <w:t xml:space="preserve">proceso histórico </w:t>
      </w:r>
      <w:r w:rsidRPr="004E1DFF">
        <w:rPr>
          <w:rFonts w:ascii="Arial" w:hAnsi="Arial" w:cs="Arial"/>
        </w:rPr>
        <w:t xml:space="preserve">mencionado anteriormente afecta </w:t>
      </w:r>
      <w:r w:rsidR="00A16BA1" w:rsidRPr="004E1DFF">
        <w:rPr>
          <w:rFonts w:ascii="Arial" w:hAnsi="Arial" w:cs="Arial"/>
        </w:rPr>
        <w:t>en el desa</w:t>
      </w:r>
      <w:r w:rsidRPr="004E1DFF">
        <w:rPr>
          <w:rFonts w:ascii="Arial" w:hAnsi="Arial" w:cs="Arial"/>
        </w:rPr>
        <w:t>rrollo de la normativa agrícola y</w:t>
      </w:r>
      <w:r w:rsidR="00A16BA1" w:rsidRPr="004E1DFF">
        <w:rPr>
          <w:rFonts w:ascii="Arial" w:hAnsi="Arial" w:cs="Arial"/>
        </w:rPr>
        <w:t xml:space="preserve"> </w:t>
      </w:r>
      <w:r w:rsidRPr="004E1DFF">
        <w:rPr>
          <w:rFonts w:ascii="Arial" w:hAnsi="Arial" w:cs="Arial"/>
        </w:rPr>
        <w:t>medio</w:t>
      </w:r>
      <w:r w:rsidR="00A16BA1" w:rsidRPr="004E1DFF">
        <w:rPr>
          <w:rFonts w:ascii="Arial" w:hAnsi="Arial" w:cs="Arial"/>
        </w:rPr>
        <w:t>a</w:t>
      </w:r>
      <w:r w:rsidRPr="004E1DFF">
        <w:rPr>
          <w:rFonts w:ascii="Arial" w:hAnsi="Arial" w:cs="Arial"/>
        </w:rPr>
        <w:t>mbiental, en la cual al momento de aplicar las normas no llegan a solucionar los problemas que se plantean o generan desde la década del cincuenta, ya que los problemas se mantienes. Si bien el tema de seguridad alimentaria</w:t>
      </w:r>
      <w:r w:rsidR="00A16BA1" w:rsidRPr="004E1DFF">
        <w:rPr>
          <w:rFonts w:ascii="Arial" w:hAnsi="Arial" w:cs="Arial"/>
        </w:rPr>
        <w:t xml:space="preserve">, </w:t>
      </w:r>
      <w:r w:rsidRPr="004E1DFF">
        <w:rPr>
          <w:rFonts w:ascii="Arial" w:hAnsi="Arial" w:cs="Arial"/>
        </w:rPr>
        <w:t xml:space="preserve">se centra en las políticas públicas que se </w:t>
      </w:r>
      <w:r w:rsidR="00A16BA1" w:rsidRPr="004E1DFF">
        <w:rPr>
          <w:rFonts w:ascii="Arial" w:hAnsi="Arial" w:cs="Arial"/>
        </w:rPr>
        <w:t>centraron en el incremento</w:t>
      </w:r>
      <w:r w:rsidRPr="004E1DFF">
        <w:rPr>
          <w:rFonts w:ascii="Arial" w:hAnsi="Arial" w:cs="Arial"/>
        </w:rPr>
        <w:t xml:space="preserve"> de la productividad como medio. </w:t>
      </w:r>
    </w:p>
    <w:p w:rsidR="00A16BA1" w:rsidRPr="004E1DFF" w:rsidRDefault="004E1DFF" w:rsidP="00A16BA1">
      <w:pPr>
        <w:jc w:val="both"/>
        <w:rPr>
          <w:rFonts w:ascii="Arial" w:hAnsi="Arial" w:cs="Arial"/>
        </w:rPr>
      </w:pPr>
      <w:r w:rsidRPr="004E1DFF">
        <w:rPr>
          <w:rFonts w:ascii="Arial" w:hAnsi="Arial" w:cs="Arial"/>
        </w:rPr>
        <w:t>Con respecto a la Ley 3525 que tiene por objeto la regulación</w:t>
      </w:r>
      <w:r w:rsidR="00A16BA1" w:rsidRPr="004E1DFF">
        <w:rPr>
          <w:rFonts w:ascii="Arial" w:hAnsi="Arial" w:cs="Arial"/>
        </w:rPr>
        <w:t xml:space="preserve">, </w:t>
      </w:r>
      <w:r w:rsidRPr="004E1DFF">
        <w:rPr>
          <w:rFonts w:ascii="Arial" w:hAnsi="Arial" w:cs="Arial"/>
        </w:rPr>
        <w:t>la promoción</w:t>
      </w:r>
      <w:r w:rsidR="00A16BA1" w:rsidRPr="004E1DFF">
        <w:rPr>
          <w:rFonts w:ascii="Arial" w:hAnsi="Arial" w:cs="Arial"/>
        </w:rPr>
        <w:t xml:space="preserve"> y </w:t>
      </w:r>
      <w:r w:rsidRPr="004E1DFF">
        <w:rPr>
          <w:rFonts w:ascii="Arial" w:hAnsi="Arial" w:cs="Arial"/>
        </w:rPr>
        <w:t xml:space="preserve">el </w:t>
      </w:r>
      <w:r w:rsidR="00A16BA1" w:rsidRPr="004E1DFF">
        <w:rPr>
          <w:rFonts w:ascii="Arial" w:hAnsi="Arial" w:cs="Arial"/>
        </w:rPr>
        <w:t>fortalec</w:t>
      </w:r>
      <w:r w:rsidRPr="004E1DFF">
        <w:rPr>
          <w:rFonts w:ascii="Arial" w:hAnsi="Arial" w:cs="Arial"/>
        </w:rPr>
        <w:t xml:space="preserve">imiento </w:t>
      </w:r>
      <w:r w:rsidR="00A16BA1" w:rsidRPr="004E1DFF">
        <w:rPr>
          <w:rFonts w:ascii="Arial" w:hAnsi="Arial" w:cs="Arial"/>
        </w:rPr>
        <w:t xml:space="preserve">sosteniblemente </w:t>
      </w:r>
      <w:r w:rsidRPr="004E1DFF">
        <w:rPr>
          <w:rFonts w:ascii="Arial" w:hAnsi="Arial" w:cs="Arial"/>
        </w:rPr>
        <w:t>d</w:t>
      </w:r>
      <w:r w:rsidR="00A16BA1" w:rsidRPr="004E1DFF">
        <w:rPr>
          <w:rFonts w:ascii="Arial" w:hAnsi="Arial" w:cs="Arial"/>
        </w:rPr>
        <w:t xml:space="preserve">el desarrollo de la producción agropecuaria y forestal no maderable ecológica en Bolivia,  que se basa en la producción de alimentos sanos, de </w:t>
      </w:r>
      <w:r w:rsidR="00A16BA1" w:rsidRPr="004E1DFF">
        <w:rPr>
          <w:rFonts w:ascii="Arial" w:hAnsi="Arial" w:cs="Arial"/>
        </w:rPr>
        <w:lastRenderedPageBreak/>
        <w:t>cali</w:t>
      </w:r>
      <w:r>
        <w:rPr>
          <w:rFonts w:ascii="Arial" w:hAnsi="Arial" w:cs="Arial"/>
        </w:rPr>
        <w:t>dad, fácil de acceso, sin dañar a</w:t>
      </w:r>
      <w:r w:rsidR="00A16BA1" w:rsidRPr="004E1DFF">
        <w:rPr>
          <w:rFonts w:ascii="Arial" w:hAnsi="Arial" w:cs="Arial"/>
        </w:rPr>
        <w:t>l medio ambiente</w:t>
      </w:r>
      <w:r w:rsidR="00BF2DE8">
        <w:rPr>
          <w:rFonts w:ascii="Arial" w:hAnsi="Arial" w:cs="Arial"/>
        </w:rPr>
        <w:t>,</w:t>
      </w:r>
      <w:r w:rsidR="00A16BA1" w:rsidRPr="004E1DFF">
        <w:rPr>
          <w:rFonts w:ascii="Arial" w:hAnsi="Arial" w:cs="Arial"/>
        </w:rPr>
        <w:t xml:space="preserve"> con e</w:t>
      </w:r>
      <w:r w:rsidR="00BF2DE8">
        <w:rPr>
          <w:rFonts w:ascii="Arial" w:hAnsi="Arial" w:cs="Arial"/>
        </w:rPr>
        <w:t>sta ley se crea CNAPE para el manejo de</w:t>
      </w:r>
      <w:r w:rsidR="00A16BA1" w:rsidRPr="004E1DFF">
        <w:rPr>
          <w:rFonts w:ascii="Arial" w:hAnsi="Arial" w:cs="Arial"/>
        </w:rPr>
        <w:t xml:space="preserve"> un sistema nacional de sello para la certificación de productos ecológicos, que favorece sobre todo a la producción familiar campesina, p</w:t>
      </w:r>
      <w:r w:rsidR="00BF2DE8">
        <w:rPr>
          <w:rFonts w:ascii="Arial" w:hAnsi="Arial" w:cs="Arial"/>
        </w:rPr>
        <w:t>ero sin</w:t>
      </w:r>
      <w:r w:rsidR="00A16BA1" w:rsidRPr="004E1DFF">
        <w:rPr>
          <w:rFonts w:ascii="Arial" w:hAnsi="Arial" w:cs="Arial"/>
        </w:rPr>
        <w:t xml:space="preserve"> resultado</w:t>
      </w:r>
      <w:r w:rsidR="00BF2DE8">
        <w:rPr>
          <w:rFonts w:ascii="Arial" w:hAnsi="Arial" w:cs="Arial"/>
        </w:rPr>
        <w:t>s</w:t>
      </w:r>
      <w:r w:rsidR="00A16BA1" w:rsidRPr="004E1DFF">
        <w:rPr>
          <w:rFonts w:ascii="Arial" w:hAnsi="Arial" w:cs="Arial"/>
        </w:rPr>
        <w:t>.</w:t>
      </w:r>
    </w:p>
    <w:p w:rsidR="00BF2DE8" w:rsidRDefault="00BF2DE8" w:rsidP="00A16BA1">
      <w:pPr>
        <w:jc w:val="both"/>
        <w:rPr>
          <w:rFonts w:ascii="Arial" w:hAnsi="Arial" w:cs="Arial"/>
        </w:rPr>
      </w:pPr>
      <w:r w:rsidRPr="00BF2DE8">
        <w:rPr>
          <w:rFonts w:ascii="Arial" w:hAnsi="Arial" w:cs="Arial"/>
        </w:rPr>
        <w:t xml:space="preserve">La ley 144 </w:t>
      </w:r>
      <w:r w:rsidR="00A16BA1" w:rsidRPr="00BF2DE8">
        <w:rPr>
          <w:rFonts w:ascii="Arial" w:hAnsi="Arial" w:cs="Arial"/>
        </w:rPr>
        <w:t xml:space="preserve">de la revolución productiva comunitaria agropecuaria cuya finalidad </w:t>
      </w:r>
      <w:r w:rsidRPr="00BF2DE8">
        <w:rPr>
          <w:rFonts w:ascii="Arial" w:hAnsi="Arial" w:cs="Arial"/>
        </w:rPr>
        <w:t xml:space="preserve">es </w:t>
      </w:r>
      <w:r w:rsidR="00A16BA1" w:rsidRPr="00BF2DE8">
        <w:rPr>
          <w:rFonts w:ascii="Arial" w:hAnsi="Arial" w:cs="Arial"/>
        </w:rPr>
        <w:t xml:space="preserve"> lograr la soberanía alimentaria en condiciones de inocuidad y calidad para el vivir bien de las bolivianas y los bolivianos, a través de la Revolución Productiva Comunitaria Agropecuaria en el marco de la economía plural.</w:t>
      </w:r>
      <w:r>
        <w:rPr>
          <w:rFonts w:ascii="Arial" w:hAnsi="Arial" w:cs="Arial"/>
        </w:rPr>
        <w:t xml:space="preserve"> Norma que de forma general que no se aplica para los objetivos para los cuales fue promulgada.</w:t>
      </w:r>
    </w:p>
    <w:p w:rsidR="00BF2DE8" w:rsidRDefault="00BF2DE8" w:rsidP="00A16B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 forma general se puede concluir, que la participación de la población campesina/indígena fue vital para tener una nueva CPE y las normas que la complementan, las cuales tienen buenas intenciones para poder acompañar y generar una seguridad alimentaria con soberanía, pero en la práctica son mera norma en papel que no se aplica, y en cierto modo beneficia más quienes detentan el poder económico en la producción agrícola.</w:t>
      </w:r>
    </w:p>
    <w:sectPr w:rsidR="00BF2D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91942"/>
    <w:multiLevelType w:val="hybridMultilevel"/>
    <w:tmpl w:val="4B16ED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D10006"/>
    <w:multiLevelType w:val="hybridMultilevel"/>
    <w:tmpl w:val="484043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5662BA"/>
    <w:multiLevelType w:val="hybridMultilevel"/>
    <w:tmpl w:val="698A74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B2F"/>
    <w:rsid w:val="00054782"/>
    <w:rsid w:val="000756DC"/>
    <w:rsid w:val="00193C17"/>
    <w:rsid w:val="00460053"/>
    <w:rsid w:val="004E1DFF"/>
    <w:rsid w:val="006035CC"/>
    <w:rsid w:val="009400F2"/>
    <w:rsid w:val="00994F29"/>
    <w:rsid w:val="009D7B2F"/>
    <w:rsid w:val="00A16BA1"/>
    <w:rsid w:val="00B45862"/>
    <w:rsid w:val="00BF2DE8"/>
    <w:rsid w:val="00DB1C7E"/>
    <w:rsid w:val="00DE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BCC1E5-6E54-4778-BD74-DFEC2BC18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40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975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5</cp:revision>
  <dcterms:created xsi:type="dcterms:W3CDTF">2017-04-17T21:38:00Z</dcterms:created>
  <dcterms:modified xsi:type="dcterms:W3CDTF">2017-04-17T23:07:00Z</dcterms:modified>
</cp:coreProperties>
</file>