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DE" w:rsidRDefault="00C04EDE" w:rsidP="00692FFC">
      <w:pPr>
        <w:jc w:val="right"/>
        <w:rPr>
          <w:rStyle w:val="Textoennegrita"/>
          <w:rFonts w:ascii="Cambria" w:hAnsi="Cambria"/>
          <w:i/>
          <w:iCs/>
          <w:color w:val="222222"/>
          <w:sz w:val="24"/>
          <w:szCs w:val="24"/>
          <w:shd w:val="clear" w:color="auto" w:fill="FFFFFF"/>
        </w:rPr>
      </w:pPr>
      <w:r>
        <w:rPr>
          <w:rStyle w:val="Textoennegrita"/>
          <w:rFonts w:ascii="Cambria" w:hAnsi="Cambria"/>
          <w:i/>
          <w:iCs/>
          <w:color w:val="222222"/>
          <w:sz w:val="24"/>
          <w:szCs w:val="24"/>
          <w:shd w:val="clear" w:color="auto" w:fill="FFFFFF"/>
        </w:rPr>
        <w:t>Tarea Foro 2</w:t>
      </w:r>
    </w:p>
    <w:p w:rsidR="00D932E5" w:rsidRDefault="00C04EDE" w:rsidP="00D932E5">
      <w:pPr>
        <w:jc w:val="right"/>
        <w:rPr>
          <w:rStyle w:val="Textoennegrita"/>
          <w:rFonts w:ascii="Cambria" w:hAnsi="Cambria"/>
          <w:i/>
          <w:iCs/>
          <w:color w:val="222222"/>
          <w:sz w:val="24"/>
          <w:szCs w:val="24"/>
          <w:shd w:val="clear" w:color="auto" w:fill="FFFFFF"/>
        </w:rPr>
      </w:pPr>
      <w:r>
        <w:rPr>
          <w:rStyle w:val="Textoennegrita"/>
          <w:rFonts w:ascii="Cambria" w:hAnsi="Cambria"/>
          <w:i/>
          <w:iCs/>
          <w:color w:val="222222"/>
          <w:sz w:val="24"/>
          <w:szCs w:val="24"/>
          <w:shd w:val="clear" w:color="auto" w:fill="FFFFFF"/>
        </w:rPr>
        <w:t>Alumna Estela Machaca</w:t>
      </w:r>
    </w:p>
    <w:p w:rsidR="00C04EDE" w:rsidRPr="00D932E5" w:rsidRDefault="00C04EDE" w:rsidP="00D932E5">
      <w:pPr>
        <w:pStyle w:val="Prrafodelista"/>
        <w:numPr>
          <w:ilvl w:val="0"/>
          <w:numId w:val="3"/>
        </w:numPr>
        <w:jc w:val="both"/>
        <w:rPr>
          <w:rStyle w:val="Textoennegrita"/>
          <w:rFonts w:ascii="Cambria" w:hAnsi="Cambria"/>
          <w:i/>
          <w:iCs/>
          <w:color w:val="222222"/>
          <w:sz w:val="24"/>
          <w:szCs w:val="24"/>
          <w:shd w:val="clear" w:color="auto" w:fill="FFFFFF"/>
        </w:rPr>
      </w:pPr>
      <w:r w:rsidRPr="00D932E5">
        <w:rPr>
          <w:rStyle w:val="Textoennegrita"/>
          <w:rFonts w:ascii="Cambria" w:hAnsi="Cambria"/>
          <w:i/>
          <w:iCs/>
          <w:color w:val="222222"/>
          <w:sz w:val="24"/>
          <w:szCs w:val="24"/>
          <w:u w:val="single"/>
          <w:shd w:val="clear" w:color="auto" w:fill="FFFFFF"/>
        </w:rPr>
        <w:t>¿Cómo se configura el proceso histórico de la seguridad alimentaria con soberanía en el país?</w:t>
      </w:r>
    </w:p>
    <w:p w:rsidR="00D932E5" w:rsidRPr="00D932E5" w:rsidRDefault="00D932E5" w:rsidP="00D932E5">
      <w:pPr>
        <w:pStyle w:val="Prrafodelista"/>
        <w:jc w:val="both"/>
        <w:rPr>
          <w:rStyle w:val="Textoennegrita"/>
          <w:rFonts w:ascii="Cambria" w:hAnsi="Cambria"/>
          <w:i/>
          <w:iCs/>
          <w:color w:val="222222"/>
          <w:sz w:val="24"/>
          <w:szCs w:val="24"/>
          <w:shd w:val="clear" w:color="auto" w:fill="FFFFFF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5"/>
      </w:tblGrid>
      <w:tr w:rsidR="00C04EDE" w:rsidTr="00C04ED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8655" w:type="dxa"/>
          </w:tcPr>
          <w:p w:rsidR="00C04EDE" w:rsidRDefault="00C04EDE" w:rsidP="00C04EDE">
            <w:pPr>
              <w:ind w:left="-39"/>
              <w:rPr>
                <w:rStyle w:val="Textoennegrita"/>
                <w:rFonts w:ascii="Cambria" w:hAnsi="Cambria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A82E82">
              <w:rPr>
                <w:rStyle w:val="Textoennegrita"/>
                <w:rFonts w:ascii="Cambria" w:hAnsi="Cambria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A82E82">
              <w:rPr>
                <w:rStyle w:val="Textoennegrita"/>
                <w:rFonts w:ascii="Cambria" w:hAnsi="Cambria"/>
                <w:i/>
                <w:iCs/>
                <w:color w:val="222222"/>
                <w:sz w:val="24"/>
                <w:szCs w:val="24"/>
                <w:shd w:val="clear" w:color="auto" w:fill="FFFFFF"/>
              </w:rPr>
              <w:t>“Existe seguridad alimentaria cuando todas las personas tienen, en todo momento, acceso físico y económico a suficientes alimentos inocuos y nutritivos para satisfacer sus necesidades alimenticias y sus preferencias en cuanto a los alimentos, a fin de llevar una vida activa y sana”. (FAO, 2006).</w:t>
            </w:r>
          </w:p>
        </w:tc>
      </w:tr>
    </w:tbl>
    <w:p w:rsidR="00692FFC" w:rsidRPr="00227C52" w:rsidRDefault="00692FFC" w:rsidP="00227C52">
      <w:pPr>
        <w:jc w:val="both"/>
        <w:rPr>
          <w:rStyle w:val="Textoennegrita"/>
          <w:rFonts w:ascii="Arial" w:hAnsi="Arial" w:cs="Arial"/>
          <w:b w:val="0"/>
          <w:i/>
          <w:iCs/>
          <w:color w:val="222222"/>
          <w:shd w:val="clear" w:color="auto" w:fill="FFFFFF"/>
        </w:rPr>
      </w:pPr>
    </w:p>
    <w:p w:rsidR="00C04EDE" w:rsidRPr="00227C52" w:rsidRDefault="00C04EDE" w:rsidP="00227C52">
      <w:pPr>
        <w:jc w:val="both"/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</w:pPr>
      <w:r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Esta definición nos ayuda a entender que el proceso de seguridad alimentaria</w:t>
      </w:r>
      <w:r w:rsidR="00692FFC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,</w:t>
      </w:r>
      <w:r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con soberanía</w:t>
      </w:r>
      <w:r w:rsidR="00692FFC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,</w:t>
      </w:r>
      <w:r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deriva de una índole multidimensional de factores </w:t>
      </w:r>
      <w:r w:rsidR="00692FFC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como</w:t>
      </w:r>
      <w:r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el acceso a la tierra, las luchas y reivindicaciones de indígenas, campesinos y sindicatos, reformas y luchas agrarias, medio ambiente, desarrollo rural, producción de alimentos, </w:t>
      </w:r>
      <w:r w:rsidR="00692FFC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a</w:t>
      </w:r>
      <w:r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limentación y nutrición, entre otros factores, para ir consolidando el camino a la seguridad alimentaria con soberanía.  Para ello haremos una revisión breve del proceso histórico:</w:t>
      </w:r>
    </w:p>
    <w:p w:rsidR="00C04EDE" w:rsidRPr="00227C52" w:rsidRDefault="00C04EDE" w:rsidP="00227C52">
      <w:pPr>
        <w:jc w:val="both"/>
        <w:rPr>
          <w:rStyle w:val="Textoennegrita"/>
          <w:rFonts w:ascii="Arial" w:hAnsi="Arial" w:cs="Arial"/>
          <w:iCs/>
          <w:color w:val="171717" w:themeColor="background2" w:themeShade="1A"/>
          <w:shd w:val="clear" w:color="auto" w:fill="FFFFFF"/>
        </w:rPr>
      </w:pPr>
      <w:r w:rsidRPr="00227C52">
        <w:rPr>
          <w:rStyle w:val="Textoennegrita"/>
          <w:rFonts w:ascii="Arial" w:hAnsi="Arial" w:cs="Arial"/>
          <w:iCs/>
          <w:color w:val="171717" w:themeColor="background2" w:themeShade="1A"/>
          <w:shd w:val="clear" w:color="auto" w:fill="FFFFFF"/>
        </w:rPr>
        <w:t>Estado Republicano (1825)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Levantamientos indígenas centrados en la recuperación de sus tierras</w:t>
      </w:r>
    </w:p>
    <w:p w:rsidR="00C04EDE" w:rsidRPr="00227C52" w:rsidRDefault="00C04EDE" w:rsidP="00227C52">
      <w:pPr>
        <w:jc w:val="both"/>
        <w:rPr>
          <w:rFonts w:ascii="Arial" w:hAnsi="Arial" w:cs="Arial"/>
          <w:b/>
          <w:color w:val="171717" w:themeColor="background2" w:themeShade="1A"/>
        </w:rPr>
      </w:pPr>
      <w:r w:rsidRPr="00227C52">
        <w:rPr>
          <w:rFonts w:ascii="Arial" w:hAnsi="Arial" w:cs="Arial"/>
          <w:b/>
          <w:color w:val="171717" w:themeColor="background2" w:themeShade="1A"/>
        </w:rPr>
        <w:t>Primera Etapa: Gobiernos de la Revolución Nacional (1952 - 1964)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 xml:space="preserve">Se gestó la Revolución Nacional que introdujo la medida de mayor impacto en esta etapa: la “Reforma Agraria” (1953), cuyo hecho tuvo como fin el abolir el latifundio en la región andina y restituir las tierras usurpadas por los patrones a las comunidades </w:t>
      </w:r>
      <w:proofErr w:type="spellStart"/>
      <w:r w:rsidRPr="00227C52">
        <w:rPr>
          <w:rFonts w:ascii="Arial" w:hAnsi="Arial" w:cs="Arial"/>
          <w:color w:val="171717" w:themeColor="background2" w:themeShade="1A"/>
        </w:rPr>
        <w:t>aymara</w:t>
      </w:r>
      <w:proofErr w:type="spellEnd"/>
      <w:r w:rsidRPr="00227C52">
        <w:rPr>
          <w:rFonts w:ascii="Arial" w:hAnsi="Arial" w:cs="Arial"/>
          <w:color w:val="171717" w:themeColor="background2" w:themeShade="1A"/>
        </w:rPr>
        <w:t xml:space="preserve"> y quechua.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El gobierno no simpatizo con las estructuras comunitarias ancestrales, consideradas sinónimo de atraso, bajo la consigna “La tierra es para quien la trabaja” entregó a cada familia individual parcelas de tierra que habían trabajado dentro de la hacienda, convirtiéndolos a los anteriores</w:t>
      </w:r>
      <w:r w:rsidRPr="00227C52">
        <w:rPr>
          <w:rFonts w:ascii="Arial" w:hAnsi="Arial" w:cs="Arial"/>
          <w:i/>
          <w:color w:val="171717" w:themeColor="background2" w:themeShade="1A"/>
        </w:rPr>
        <w:t xml:space="preserve"> pongos</w:t>
      </w:r>
      <w:r w:rsidRPr="00227C52">
        <w:rPr>
          <w:rFonts w:ascii="Arial" w:hAnsi="Arial" w:cs="Arial"/>
          <w:color w:val="171717" w:themeColor="background2" w:themeShade="1A"/>
        </w:rPr>
        <w:t xml:space="preserve"> en </w:t>
      </w:r>
      <w:r w:rsidRPr="00227C52">
        <w:rPr>
          <w:rFonts w:ascii="Arial" w:hAnsi="Arial" w:cs="Arial"/>
          <w:i/>
          <w:color w:val="171717" w:themeColor="background2" w:themeShade="1A"/>
        </w:rPr>
        <w:t xml:space="preserve">trabajadores campesinos. </w:t>
      </w:r>
      <w:r w:rsidRPr="00227C52">
        <w:rPr>
          <w:rFonts w:ascii="Arial" w:hAnsi="Arial" w:cs="Arial"/>
          <w:color w:val="171717" w:themeColor="background2" w:themeShade="1A"/>
        </w:rPr>
        <w:t>A fin de facilitar la entrega y titulación de tierras, además, asegurar la lealtad política.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El gobierno fundó la Confederación Nacional de Trabajadores Campesinos de Bolivia (CNTCB) equiparada a un Sindicato</w:t>
      </w:r>
    </w:p>
    <w:p w:rsidR="00C04EDE" w:rsidRPr="00227C52" w:rsidRDefault="00C04EDE" w:rsidP="00227C52">
      <w:p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En este periodo vemos que la Reforma Agraria no aspiraba a la distribución equitativa de tierra porque se hizo la clasificación de tierra en propiedad pequeña, mediana y empresarial; se introdujo el capitalismo porque la aplicación de políticas internacionales buscaban privilegiar a la propiedad empresarial o industria agrícola; además, se excluyó a los indígenas de tierras bajas al no considerarlos ciudadanos sino salvajes.</w:t>
      </w:r>
    </w:p>
    <w:p w:rsidR="00C04EDE" w:rsidRPr="00227C52" w:rsidRDefault="00C04EDE" w:rsidP="00227C52">
      <w:pPr>
        <w:jc w:val="both"/>
        <w:rPr>
          <w:rFonts w:ascii="Arial" w:hAnsi="Arial" w:cs="Arial"/>
          <w:b/>
          <w:color w:val="171717" w:themeColor="background2" w:themeShade="1A"/>
        </w:rPr>
      </w:pPr>
      <w:r w:rsidRPr="00227C52">
        <w:rPr>
          <w:rFonts w:ascii="Arial" w:hAnsi="Arial" w:cs="Arial"/>
          <w:b/>
          <w:color w:val="171717" w:themeColor="background2" w:themeShade="1A"/>
        </w:rPr>
        <w:t>Segunda Etapa: Gobiernos Militares de Facto (1964 – 1982)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Se abandonó los objetivos de la Reforma Agraria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La agroindustria no pudo desarrollarse plenamente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lastRenderedPageBreak/>
        <w:t>En comunidades andinas se descuida la dotación de asistencia técnica, infraestructura y acceso a mercados.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En tierras bajas se entregan grandes extensiones de tierras a pocos propietarios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Se crean cooperativas ficticias para acceder a créditos agrícolas que nunca son devueltos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A raíz de la no devolución de los créditos otorgados el Banco Agrícola se declara en quiebra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 xml:space="preserve">El manifiesto de </w:t>
      </w:r>
      <w:proofErr w:type="spellStart"/>
      <w:r w:rsidRPr="00227C52">
        <w:rPr>
          <w:rFonts w:ascii="Arial" w:hAnsi="Arial" w:cs="Arial"/>
          <w:color w:val="171717" w:themeColor="background2" w:themeShade="1A"/>
        </w:rPr>
        <w:t>Tiwanacu</w:t>
      </w:r>
      <w:proofErr w:type="spellEnd"/>
      <w:r w:rsidR="00DF3A4D" w:rsidRPr="00227C52">
        <w:rPr>
          <w:rFonts w:ascii="Arial" w:hAnsi="Arial" w:cs="Arial"/>
          <w:color w:val="171717" w:themeColor="background2" w:themeShade="1A"/>
        </w:rPr>
        <w:t xml:space="preserve"> </w:t>
      </w:r>
      <w:r w:rsidRPr="00227C52">
        <w:rPr>
          <w:rFonts w:ascii="Arial" w:hAnsi="Arial" w:cs="Arial"/>
          <w:color w:val="171717" w:themeColor="background2" w:themeShade="1A"/>
        </w:rPr>
        <w:t>(1973) postula un Estado acorde a los valores de los pueblos originarios.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Los campesinos andinos (1979) reconstruyeron su organización bajo el nombre de Confederación Sindical Única de Trabajadores Campesinos de Bolivia (CSUTCB), y su brazo femenino, la Federación Nacional de Mujeres Campesinas de Bolivia “Bartolina Sisa” (FNMCB”BS”), proclamando su independencia respecto a los partidos políticos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En las décadas de 1960 y 1970 se establecen diferentes programas, como el de alimentación escolar, basados en la donación de alimentos, los cuales son distribuidos bajo criterios de los donantes con poca participación del Estado</w:t>
      </w:r>
    </w:p>
    <w:p w:rsidR="00C04EDE" w:rsidRPr="00227C52" w:rsidRDefault="00C04EDE" w:rsidP="00227C52">
      <w:pPr>
        <w:ind w:left="360"/>
        <w:jc w:val="both"/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  <w:lang w:val="es-BO"/>
        </w:rPr>
      </w:pPr>
      <w:r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  <w:lang w:val="es-BO"/>
        </w:rPr>
        <w:t>En esta etapa los objetivos de la Reforma Agraria se abandonaron, la asistencia técnica, infraestructura y el acceso a mercados debilitaron a la ag</w:t>
      </w:r>
      <w:r w:rsidR="00DF3A4D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  <w:lang w:val="es-BO"/>
        </w:rPr>
        <w:t xml:space="preserve">ricultura en </w:t>
      </w:r>
      <w:r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  <w:lang w:val="es-BO"/>
        </w:rPr>
        <w:t>comunidades andinas, además, se generó inestabilidad económica por créditos agrícolas ficticios que derivaron en la quiebra del Banco Agrícola. No obstante, la CSUTCB y FNMCB”BS” proclamaron su independencia respecto a los partidos políticos y en forma contestataria al espíritu individualista de la Reforma Agraria y a las múltiples desviaciones por corrupción</w:t>
      </w:r>
    </w:p>
    <w:p w:rsidR="00C04EDE" w:rsidRPr="00227C52" w:rsidRDefault="00C04EDE" w:rsidP="00227C52">
      <w:pPr>
        <w:pStyle w:val="Prrafodelista"/>
        <w:jc w:val="both"/>
        <w:rPr>
          <w:rFonts w:ascii="Arial" w:hAnsi="Arial" w:cs="Arial"/>
          <w:color w:val="171717" w:themeColor="background2" w:themeShade="1A"/>
          <w:lang w:val="es-BO"/>
        </w:rPr>
      </w:pPr>
    </w:p>
    <w:p w:rsidR="00C04EDE" w:rsidRPr="00227C52" w:rsidRDefault="00C04EDE" w:rsidP="00227C52">
      <w:p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b/>
          <w:color w:val="171717" w:themeColor="background2" w:themeShade="1A"/>
        </w:rPr>
        <w:t>Tercera Etapa: Periodo “neoliberal” (1982 – 2005</w:t>
      </w:r>
      <w:r w:rsidRPr="00227C52">
        <w:rPr>
          <w:rFonts w:ascii="Arial" w:hAnsi="Arial" w:cs="Arial"/>
          <w:color w:val="171717" w:themeColor="background2" w:themeShade="1A"/>
        </w:rPr>
        <w:t xml:space="preserve">) 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La CSUTCB formuló su ideario en la propuesta de Ley Agraria Fundamental (LAF) que postula la recuperación de las formas comunitarias de administración de las tierras y de las tecnologías tradicionales.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La presión popular logró la recuperación del régimen democrático (1982)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Se propone la creación del “brazo económico” de las comunidades, la Corporación Agraria Campesina (CORACA) en sustitución del ineficiente ministerio de agricultura.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En 1982 se fundó la Central Indígena del Oriente Boliviano (CIDOB)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En 1985 con la promulgació</w:t>
      </w:r>
      <w:r w:rsidR="00DF3A4D" w:rsidRPr="00227C52">
        <w:rPr>
          <w:rFonts w:ascii="Arial" w:hAnsi="Arial" w:cs="Arial"/>
          <w:color w:val="171717" w:themeColor="background2" w:themeShade="1A"/>
        </w:rPr>
        <w:t xml:space="preserve">n del Decreto Supremo 21060 </w:t>
      </w:r>
      <w:r w:rsidRPr="00227C52">
        <w:rPr>
          <w:rFonts w:ascii="Arial" w:hAnsi="Arial" w:cs="Arial"/>
          <w:color w:val="171717" w:themeColor="background2" w:themeShade="1A"/>
        </w:rPr>
        <w:t xml:space="preserve">contribuyó con la “flexibilización del mercado laboral, no obstante, se inició una ola de despidos masivos, privatización de las empresas públicas y la desregularización de los precios para alimentos condujo a una carestía generalizada y a un mayor flujo migratorio de campesinos a los centros urbanos o al exterior. 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 xml:space="preserve">Se promulgaron: la Ley de Participación Popular (1992), la Ley de Medio Ambiente (1992), Ley de Reforma Educativa (1994), la Ley Forestal (1996) y la nueva ley agraria, denominada Ley INRA (1996). Esta etapa es conocida como el período “blando” (década de 1990) 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Ley INRA buscaba “sanear” la propiedad agraria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lastRenderedPageBreak/>
        <w:t xml:space="preserve">Se crea la novedosa figura legal de las Tierras Comunitarias de Origen (TCO) por la cual son reconocidos los derechos de los pueblos de tierras bajas sobre sus territorios históricos.  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 xml:space="preserve">Se funda el Consejo Nacional de Ayllus y </w:t>
      </w:r>
      <w:proofErr w:type="spellStart"/>
      <w:r w:rsidRPr="00227C52">
        <w:rPr>
          <w:rFonts w:ascii="Arial" w:hAnsi="Arial" w:cs="Arial"/>
          <w:color w:val="171717" w:themeColor="background2" w:themeShade="1A"/>
        </w:rPr>
        <w:t>Markas</w:t>
      </w:r>
      <w:proofErr w:type="spellEnd"/>
      <w:r w:rsidRPr="00227C52">
        <w:rPr>
          <w:rFonts w:ascii="Arial" w:hAnsi="Arial" w:cs="Arial"/>
          <w:color w:val="171717" w:themeColor="background2" w:themeShade="1A"/>
        </w:rPr>
        <w:t xml:space="preserve"> del </w:t>
      </w:r>
      <w:proofErr w:type="spellStart"/>
      <w:r w:rsidRPr="00227C52">
        <w:rPr>
          <w:rFonts w:ascii="Arial" w:hAnsi="Arial" w:cs="Arial"/>
          <w:color w:val="171717" w:themeColor="background2" w:themeShade="1A"/>
        </w:rPr>
        <w:t>Kollasuyu</w:t>
      </w:r>
      <w:proofErr w:type="spellEnd"/>
      <w:r w:rsidRPr="00227C52">
        <w:rPr>
          <w:rFonts w:ascii="Arial" w:hAnsi="Arial" w:cs="Arial"/>
          <w:color w:val="171717" w:themeColor="background2" w:themeShade="1A"/>
        </w:rPr>
        <w:t xml:space="preserve"> (CONAMAQ, 1997)</w:t>
      </w:r>
      <w:r w:rsidR="00DF3A4D" w:rsidRPr="00227C52">
        <w:rPr>
          <w:rFonts w:ascii="Arial" w:hAnsi="Arial" w:cs="Arial"/>
          <w:color w:val="171717" w:themeColor="background2" w:themeShade="1A"/>
        </w:rPr>
        <w:t>,</w:t>
      </w:r>
      <w:r w:rsidRPr="00227C52">
        <w:rPr>
          <w:rFonts w:ascii="Arial" w:hAnsi="Arial" w:cs="Arial"/>
          <w:color w:val="171717" w:themeColor="background2" w:themeShade="1A"/>
        </w:rPr>
        <w:t xml:space="preserve"> a partir de las figuras de las TCO que es también asumida por muchas comunidades andinas 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 xml:space="preserve">Se genera la “Marcha por Territorio y Dignidad” (1990), protagonizada por los indígenas de los llanos en la defensa de sus territorios y en protesta contra la explotación de los bosques que amenazaba sus espacios de vida. 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Las Bartolinas (década de los 90) asumieron la lucha en temas de alimentación con la consigna “Debemos estar claros en que no hay Soberanía Alimentaria sin soberanía política”</w:t>
      </w:r>
    </w:p>
    <w:p w:rsidR="00C04EDE" w:rsidRPr="00227C52" w:rsidRDefault="00692FFC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Se dictaron</w:t>
      </w:r>
      <w:r w:rsidR="00C04EDE" w:rsidRPr="00227C52">
        <w:rPr>
          <w:rFonts w:ascii="Arial" w:hAnsi="Arial" w:cs="Arial"/>
          <w:color w:val="171717" w:themeColor="background2" w:themeShade="1A"/>
        </w:rPr>
        <w:t xml:space="preserve"> importante</w:t>
      </w:r>
      <w:r w:rsidRPr="00227C52">
        <w:rPr>
          <w:rFonts w:ascii="Arial" w:hAnsi="Arial" w:cs="Arial"/>
          <w:color w:val="171717" w:themeColor="background2" w:themeShade="1A"/>
        </w:rPr>
        <w:t>s leyes y se crearon</w:t>
      </w:r>
      <w:r w:rsidR="00C04EDE" w:rsidRPr="00227C52">
        <w:rPr>
          <w:rFonts w:ascii="Arial" w:hAnsi="Arial" w:cs="Arial"/>
          <w:color w:val="171717" w:themeColor="background2" w:themeShade="1A"/>
        </w:rPr>
        <w:t xml:space="preserve"> una institucionalidad vinculada directa o indirectamente con la seguridad y soberanía alimentaria. Sin embargo, el derecho a la alimentación propiamente ha sido objeto de debates y políticas públicas recién a partir de 2007.</w:t>
      </w:r>
    </w:p>
    <w:p w:rsidR="00C04EDE" w:rsidRPr="00227C52" w:rsidRDefault="00C04EDE" w:rsidP="00227C52">
      <w:pPr>
        <w:jc w:val="both"/>
        <w:rPr>
          <w:rFonts w:ascii="Arial" w:hAnsi="Arial" w:cs="Arial"/>
          <w:color w:val="171717" w:themeColor="background2" w:themeShade="1A"/>
          <w:lang w:val="es-BO"/>
        </w:rPr>
      </w:pPr>
      <w:r w:rsidRPr="00227C52">
        <w:rPr>
          <w:rFonts w:ascii="Arial" w:hAnsi="Arial" w:cs="Arial"/>
          <w:color w:val="171717" w:themeColor="background2" w:themeShade="1A"/>
          <w:lang w:val="es-BO"/>
        </w:rPr>
        <w:t xml:space="preserve">En la tercera etapa, la presión popular logró la recuperación del régimen democrático y adoptó el modelo neoliberal cuyo efecto anuló las conquistas y derechos de los trabajadores. Se generó la privatización de las empresas públicas, la desregularización de los precios para alimentos y se desató la ola de la migración.  Se promulgaron varias leyes con el fin de, supuestamente, incentivar a la participación de la gente en las decisiones políticas y del manejo de los recursos.  </w:t>
      </w:r>
      <w:r w:rsidRPr="00227C52">
        <w:rPr>
          <w:rFonts w:ascii="Arial" w:hAnsi="Arial" w:cs="Arial"/>
          <w:color w:val="171717" w:themeColor="background2" w:themeShade="1A"/>
          <w:lang w:val="es-BO"/>
        </w:rPr>
        <w:br/>
        <w:t>La mejor propuesta fue la creación de la Ley Agraria Fundamental (LAF) que postula la recuperación de las formas comunitarias de administración de las tierras y de las tecnologías tradicionales y el trabajo que las Bartolinas asumieron durante este periodo en el tema de la alimentación.</w:t>
      </w:r>
    </w:p>
    <w:p w:rsidR="00C04EDE" w:rsidRPr="00227C52" w:rsidRDefault="00C04EDE" w:rsidP="00227C52">
      <w:p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b/>
          <w:color w:val="171717" w:themeColor="background2" w:themeShade="1A"/>
        </w:rPr>
        <w:t>El proceso de la Asamblea Constituyente</w:t>
      </w:r>
      <w:r w:rsidRPr="00227C52">
        <w:rPr>
          <w:rFonts w:ascii="Arial" w:hAnsi="Arial" w:cs="Arial"/>
          <w:color w:val="171717" w:themeColor="background2" w:themeShade="1A"/>
        </w:rPr>
        <w:t xml:space="preserve"> 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 xml:space="preserve">El 2006 se consagra como Presidente </w:t>
      </w:r>
      <w:r w:rsidR="00692FFC" w:rsidRPr="00227C52">
        <w:rPr>
          <w:rFonts w:ascii="Arial" w:hAnsi="Arial" w:cs="Arial"/>
          <w:color w:val="171717" w:themeColor="background2" w:themeShade="1A"/>
        </w:rPr>
        <w:t>a</w:t>
      </w:r>
      <w:r w:rsidRPr="00227C52">
        <w:rPr>
          <w:rFonts w:ascii="Arial" w:hAnsi="Arial" w:cs="Arial"/>
          <w:color w:val="171717" w:themeColor="background2" w:themeShade="1A"/>
        </w:rPr>
        <w:t xml:space="preserve">l primer indígena, Evo Morales </w:t>
      </w:r>
      <w:proofErr w:type="spellStart"/>
      <w:r w:rsidRPr="00227C52">
        <w:rPr>
          <w:rFonts w:ascii="Arial" w:hAnsi="Arial" w:cs="Arial"/>
          <w:color w:val="171717" w:themeColor="background2" w:themeShade="1A"/>
        </w:rPr>
        <w:t>Ayma</w:t>
      </w:r>
      <w:proofErr w:type="spellEnd"/>
      <w:r w:rsidRPr="00227C52">
        <w:rPr>
          <w:rFonts w:ascii="Arial" w:hAnsi="Arial" w:cs="Arial"/>
          <w:color w:val="171717" w:themeColor="background2" w:themeShade="1A"/>
        </w:rPr>
        <w:t xml:space="preserve"> 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La Asamblea Constituyente se instaló en agosto de 2006 y fue aprobado en diciembre de 2007.  No obstante, tuvo que ser “renegociado” en el Congreso Nacional, antes de ser llevado a votación para su aprobación en un Referéndum Nacional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 xml:space="preserve">La nueva Constitución Política del Estado (CPE) es aprobada, mediante </w:t>
      </w:r>
      <w:proofErr w:type="spellStart"/>
      <w:r w:rsidRPr="00227C52">
        <w:rPr>
          <w:rFonts w:ascii="Arial" w:hAnsi="Arial" w:cs="Arial"/>
          <w:color w:val="171717" w:themeColor="background2" w:themeShade="1A"/>
        </w:rPr>
        <w:t>Referendum</w:t>
      </w:r>
      <w:proofErr w:type="spellEnd"/>
      <w:r w:rsidRPr="00227C52">
        <w:rPr>
          <w:rFonts w:ascii="Arial" w:hAnsi="Arial" w:cs="Arial"/>
          <w:color w:val="171717" w:themeColor="background2" w:themeShade="1A"/>
        </w:rPr>
        <w:t>, el 2009. Sus tres pilares fundamentales son: El Estado plurinacional, la economía plural y el Estado autonómico.</w:t>
      </w:r>
    </w:p>
    <w:p w:rsidR="00692FFC" w:rsidRPr="00227C52" w:rsidRDefault="00692FFC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La CPE</w:t>
      </w:r>
      <w:r w:rsidR="00C04EDE" w:rsidRPr="00227C52">
        <w:rPr>
          <w:rFonts w:ascii="Arial" w:hAnsi="Arial" w:cs="Arial"/>
          <w:color w:val="171717" w:themeColor="background2" w:themeShade="1A"/>
        </w:rPr>
        <w:t>, en varios de sus artículos, reconoce a la Soberanía Alimentaria como una de las finalidades del Estado (Ej.: importancia de la seguridad y soberanía alimentaria Art. 405)</w:t>
      </w:r>
      <w:r w:rsidR="00DF3A4D" w:rsidRPr="00227C52">
        <w:rPr>
          <w:rFonts w:ascii="Arial" w:hAnsi="Arial" w:cs="Arial"/>
          <w:color w:val="171717" w:themeColor="background2" w:themeShade="1A"/>
        </w:rPr>
        <w:t>.</w:t>
      </w:r>
      <w:r w:rsidR="00C04EDE" w:rsidRPr="00227C52">
        <w:rPr>
          <w:rFonts w:ascii="Arial" w:hAnsi="Arial" w:cs="Arial"/>
          <w:color w:val="171717" w:themeColor="background2" w:themeShade="1A"/>
        </w:rPr>
        <w:t xml:space="preserve"> También reconoce el impulso de la agricultura urbana, el ordenamiento territorial, acceso a la tierra, estructuras de producción agropecuarias, medio ambiente y el fomento al desarrollo rural.</w:t>
      </w:r>
    </w:p>
    <w:p w:rsidR="00C04EDE" w:rsidRPr="00227C52" w:rsidRDefault="00692FFC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La CPE</w:t>
      </w:r>
      <w:r w:rsidR="00C04EDE" w:rsidRPr="00227C52">
        <w:rPr>
          <w:rFonts w:ascii="Arial" w:hAnsi="Arial" w:cs="Arial"/>
          <w:color w:val="171717" w:themeColor="background2" w:themeShade="1A"/>
        </w:rPr>
        <w:t xml:space="preserve"> también contiene contradicciones en temas clave como el régimen de tierras y el uso de tecnologías productivas cuestionadas como lo son los Organismos Genéticamente Modificados (OGM). Otro ejemplo es la prohibición de la acumulación de tierras en manos de propietarios empresariales asociados, sin </w:t>
      </w:r>
      <w:r w:rsidR="00C04EDE" w:rsidRPr="00227C52">
        <w:rPr>
          <w:rFonts w:ascii="Arial" w:hAnsi="Arial" w:cs="Arial"/>
          <w:color w:val="171717" w:themeColor="background2" w:themeShade="1A"/>
        </w:rPr>
        <w:lastRenderedPageBreak/>
        <w:t xml:space="preserve">embargo, parece ser que la orientación fundamental de la política privilegia el desarrollo y crecimiento económico por encima de los derechos humanos. </w:t>
      </w:r>
    </w:p>
    <w:p w:rsidR="00C04EDE" w:rsidRPr="00227C52" w:rsidRDefault="00C04EDE" w:rsidP="00227C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El Estado autonómico otorga competencias exclusivas a los gobiernos departamentales y municipales en cuanto a la seguridad alimentaria, esta es mencionada dentro de las competencias exclusivas de los gobiernos departamentales y municipales (art. 300 inc. 16 y art. 302 inc. 12).</w:t>
      </w:r>
    </w:p>
    <w:p w:rsidR="00C04EDE" w:rsidRPr="00227C52" w:rsidRDefault="00C04EDE" w:rsidP="00227C52">
      <w:p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Con la CPE, el Estado boliviano ha asumido con mayor fuerza sus obligaciones de respeto, protección y garantía del derecho a la alimentación y de los derechos económicos, sociales y culturales en general, traduciendo esas obligaciones en un nuevo marco legal e institucional para el establecimiento de políticas que permitan el ejercicio del derecho a la alimentación.</w:t>
      </w:r>
    </w:p>
    <w:p w:rsidR="00812626" w:rsidRPr="00227C52" w:rsidRDefault="00812626" w:rsidP="00227C52">
      <w:p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Posteriormente a la entrada en vigencia de la nueva CPE se promulgaron tres leyes. La primera es la Ley N° 477 contra el avasallamiento y tráfico de tierras. La segunda es la Ley N° 33731 de apoyo a la producción de alimentos y restitución de bosques. La tercera es la Ley N° 74032, exigida por este mismo sector, que amplía de manera excepcional el plazo para la verificación de la Función Económica Social de 2 a 5 años</w:t>
      </w:r>
    </w:p>
    <w:p w:rsidR="006111C6" w:rsidRPr="00227C52" w:rsidRDefault="00812626" w:rsidP="00227C52">
      <w:p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Otras l</w:t>
      </w:r>
      <w:r w:rsidR="00C04EDE" w:rsidRPr="00227C52">
        <w:rPr>
          <w:rFonts w:ascii="Arial" w:hAnsi="Arial" w:cs="Arial"/>
          <w:color w:val="171717" w:themeColor="background2" w:themeShade="1A"/>
        </w:rPr>
        <w:t xml:space="preserve">eyes relativas a la seguridad con soberanía alimentaria </w:t>
      </w:r>
      <w:r w:rsidR="007161E1" w:rsidRPr="00227C52">
        <w:rPr>
          <w:rFonts w:ascii="Arial" w:hAnsi="Arial" w:cs="Arial"/>
          <w:color w:val="171717" w:themeColor="background2" w:themeShade="1A"/>
        </w:rPr>
        <w:t xml:space="preserve">son la Ley Marco de la Madre Tierra y Desarrollo Integral Para Vivir Bien, </w:t>
      </w:r>
      <w:r w:rsidR="006111C6" w:rsidRPr="00227C52">
        <w:rPr>
          <w:rFonts w:ascii="Arial" w:hAnsi="Arial" w:cs="Arial"/>
          <w:color w:val="171717" w:themeColor="background2" w:themeShade="1A"/>
        </w:rPr>
        <w:t xml:space="preserve">la Ley Reformatoria al Instituto de la Reforma Agraria, la Ley de la Ampliación de la Función Económica y Social.  Otras disposiciones específicas acerca del tema de Soberanía y Seguridad Alimentaria se encuentran en la ley N°144 y la N°338, resultado de la conjunción de dos iniciativas: la “Década Productiva Comunitaria” presentada por la CSUTCB y la preocupación gubernamental ante la crisis alimentaria y elevación de precios a principios de 2011. La Ley N° 338 ha sido promovida por la Coordinadora de Integración de las Organizaciones Económicas Campesinas, Indígenas y Originarias de Bolivia (CIOEC), cuya principal contribución es haber definido y caracterizado la agricultura familiar sustentable. </w:t>
      </w:r>
    </w:p>
    <w:p w:rsidR="00C04EDE" w:rsidRPr="00227C52" w:rsidRDefault="006111C6" w:rsidP="00227C52">
      <w:pPr>
        <w:jc w:val="both"/>
        <w:rPr>
          <w:rStyle w:val="Textoennegrita"/>
          <w:rFonts w:ascii="Arial" w:hAnsi="Arial" w:cs="Arial"/>
          <w:b w:val="0"/>
          <w:bCs w:val="0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También se introdujeron e</w:t>
      </w:r>
      <w:r w:rsidR="00C04EDE" w:rsidRPr="00227C52">
        <w:rPr>
          <w:rFonts w:ascii="Arial" w:hAnsi="Arial" w:cs="Arial"/>
          <w:color w:val="171717" w:themeColor="background2" w:themeShade="1A"/>
        </w:rPr>
        <w:t>l Plan Multisectorial de Alimentación y Nutrici</w:t>
      </w:r>
      <w:r w:rsidRPr="00227C52">
        <w:rPr>
          <w:rFonts w:ascii="Arial" w:hAnsi="Arial" w:cs="Arial"/>
          <w:color w:val="171717" w:themeColor="background2" w:themeShade="1A"/>
        </w:rPr>
        <w:t>ón (PMUAN) y e</w:t>
      </w:r>
      <w:r w:rsidR="00C04EDE" w:rsidRPr="00227C52">
        <w:rPr>
          <w:rFonts w:ascii="Arial" w:hAnsi="Arial" w:cs="Arial"/>
          <w:color w:val="171717" w:themeColor="background2" w:themeShade="1A"/>
        </w:rPr>
        <w:t>l Consejo Nacional de Alimentación y Nutrición (CONAN)</w:t>
      </w:r>
      <w:r w:rsidRPr="00227C52">
        <w:rPr>
          <w:rFonts w:ascii="Arial" w:hAnsi="Arial" w:cs="Arial"/>
          <w:color w:val="171717" w:themeColor="background2" w:themeShade="1A"/>
        </w:rPr>
        <w:t>.</w:t>
      </w:r>
    </w:p>
    <w:p w:rsidR="00C04EDE" w:rsidRPr="00227C52" w:rsidRDefault="00C04EDE" w:rsidP="00227C52">
      <w:pPr>
        <w:pStyle w:val="Prrafodelista"/>
        <w:numPr>
          <w:ilvl w:val="0"/>
          <w:numId w:val="3"/>
        </w:numPr>
        <w:jc w:val="both"/>
        <w:rPr>
          <w:rStyle w:val="Textoennegrita"/>
          <w:rFonts w:ascii="Arial" w:hAnsi="Arial" w:cs="Arial"/>
          <w:i/>
          <w:iCs/>
          <w:color w:val="171717" w:themeColor="background2" w:themeShade="1A"/>
          <w:u w:val="single"/>
          <w:shd w:val="clear" w:color="auto" w:fill="FFFFFF"/>
        </w:rPr>
      </w:pPr>
      <w:r w:rsidRPr="00227C52">
        <w:rPr>
          <w:rStyle w:val="Textoennegrita"/>
          <w:rFonts w:ascii="Arial" w:hAnsi="Arial" w:cs="Arial"/>
          <w:i/>
          <w:iCs/>
          <w:color w:val="171717" w:themeColor="background2" w:themeShade="1A"/>
          <w:u w:val="single"/>
          <w:shd w:val="clear" w:color="auto" w:fill="FFFFFF"/>
        </w:rPr>
        <w:t>¿Cómo incide en las normativas actuales?</w:t>
      </w:r>
    </w:p>
    <w:p w:rsidR="00DF7859" w:rsidRPr="00227C52" w:rsidRDefault="006111C6" w:rsidP="00227C52">
      <w:pPr>
        <w:jc w:val="both"/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</w:pPr>
      <w:r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El paraguas que lanza el desafío de construir un nuevo marco legal para implementar la seguridad y soberanía alimentaria es la Constitución Política del Estado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(2009), no obstante,</w:t>
      </w:r>
      <w:r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e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ste marco le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gal e institucional es un poco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disperso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y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con definiciones poco claras respec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to a las responsabilidades de lo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s diferentes niveles 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e instancias 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de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l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gobie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rno.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Las normativas y l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os programas que ejecutan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en la temática son todavía 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muy débil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es y más aún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a nivel local.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 Por tanto, el desafío 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es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tá en articular los esfuerzos </w:t>
      </w:r>
      <w:r w:rsidR="00C04EDE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existentes </w:t>
      </w:r>
      <w:r w:rsidR="00DF7859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>para que incidan en un enfoque común hacía seguridad alimentaria y posteriormente su soberanía.</w:t>
      </w:r>
    </w:p>
    <w:p w:rsidR="00E4047E" w:rsidRPr="00227C52" w:rsidRDefault="00E4047E" w:rsidP="00227C52">
      <w:pPr>
        <w:jc w:val="both"/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</w:pPr>
      <w:r w:rsidRPr="00227C52"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  <w:t>Según el</w:t>
      </w:r>
      <w:r w:rsidR="00227C52"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  <w:t xml:space="preserve"> </w:t>
      </w:r>
      <w:r w:rsidRPr="00227C52"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  <w:t xml:space="preserve">documento “Seguridad y Soberanía Alimentaria” de la FAO, la soberanía alimentaria descansa en consecuencia sobre seis pilares, a saber: </w:t>
      </w:r>
    </w:p>
    <w:p w:rsidR="00E4047E" w:rsidRPr="00227C52" w:rsidRDefault="00E4047E" w:rsidP="00227C52">
      <w:pPr>
        <w:jc w:val="both"/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</w:pPr>
      <w:r w:rsidRPr="00227C52"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  <w:t>1) Se centra en alimentos para los pueblos</w:t>
      </w:r>
    </w:p>
    <w:p w:rsidR="00E4047E" w:rsidRPr="00227C52" w:rsidRDefault="00E4047E" w:rsidP="00227C52">
      <w:pPr>
        <w:jc w:val="both"/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</w:pPr>
      <w:r w:rsidRPr="00227C52"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  <w:t>2)Valores de los proveedores de alimentos</w:t>
      </w:r>
    </w:p>
    <w:p w:rsidR="00E4047E" w:rsidRPr="00227C52" w:rsidRDefault="00E4047E" w:rsidP="00227C52">
      <w:pPr>
        <w:jc w:val="both"/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</w:pPr>
      <w:r w:rsidRPr="00227C52"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  <w:t>3) Localiza los sistemas alimentarios</w:t>
      </w:r>
    </w:p>
    <w:p w:rsidR="00E4047E" w:rsidRPr="00227C52" w:rsidRDefault="00E4047E" w:rsidP="00227C52">
      <w:pPr>
        <w:jc w:val="both"/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</w:pPr>
      <w:r w:rsidRPr="00227C52"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  <w:lastRenderedPageBreak/>
        <w:t xml:space="preserve">4) Sitúa el control a nivel local </w:t>
      </w:r>
    </w:p>
    <w:p w:rsidR="00E4047E" w:rsidRPr="00227C52" w:rsidRDefault="00E4047E" w:rsidP="00227C52">
      <w:pPr>
        <w:jc w:val="both"/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</w:pPr>
      <w:r w:rsidRPr="00227C52"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  <w:t xml:space="preserve">5) Promueve el conocimiento y las habilidades. </w:t>
      </w:r>
    </w:p>
    <w:p w:rsidR="00E4047E" w:rsidRPr="00227C52" w:rsidRDefault="00E4047E" w:rsidP="00227C52">
      <w:pPr>
        <w:jc w:val="both"/>
        <w:rPr>
          <w:rStyle w:val="Textoennegrita"/>
          <w:rFonts w:ascii="Arial" w:hAnsi="Arial" w:cs="Arial"/>
          <w:i/>
          <w:iCs/>
          <w:color w:val="171717" w:themeColor="background2" w:themeShade="1A"/>
          <w:shd w:val="clear" w:color="auto" w:fill="FFFFFF"/>
        </w:rPr>
      </w:pPr>
      <w:r w:rsidRPr="00227C52">
        <w:rPr>
          <w:rStyle w:val="Textoennegrita"/>
          <w:rFonts w:ascii="Arial" w:hAnsi="Arial" w:cs="Arial"/>
          <w:b w:val="0"/>
          <w:i/>
          <w:iCs/>
          <w:color w:val="171717" w:themeColor="background2" w:themeShade="1A"/>
          <w:shd w:val="clear" w:color="auto" w:fill="FFFFFF"/>
        </w:rPr>
        <w:t xml:space="preserve">6) Es compatible con la naturaleza </w:t>
      </w:r>
      <w:r w:rsidRPr="00227C52">
        <w:rPr>
          <w:rStyle w:val="Textoennegrita"/>
          <w:rFonts w:ascii="Arial" w:hAnsi="Arial" w:cs="Arial"/>
          <w:i/>
          <w:iCs/>
          <w:color w:val="171717" w:themeColor="background2" w:themeShade="1A"/>
          <w:shd w:val="clear" w:color="auto" w:fill="FFFFFF"/>
        </w:rPr>
        <w:t xml:space="preserve"> </w:t>
      </w:r>
    </w:p>
    <w:p w:rsidR="00EE2F80" w:rsidRPr="00227C52" w:rsidRDefault="00E4047E" w:rsidP="00227C52">
      <w:p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De acuerdo a esta definición aún existe una distancia entre lo escrito y señalado normativamente, </w:t>
      </w:r>
      <w:r w:rsidR="00EE2F80" w:rsidRPr="00227C52">
        <w:rPr>
          <w:rStyle w:val="Textoennegrita"/>
          <w:rFonts w:ascii="Arial" w:hAnsi="Arial" w:cs="Arial"/>
          <w:b w:val="0"/>
          <w:iCs/>
          <w:color w:val="171717" w:themeColor="background2" w:themeShade="1A"/>
          <w:shd w:val="clear" w:color="auto" w:fill="FFFFFF"/>
        </w:rPr>
        <w:t xml:space="preserve">no obstante, </w:t>
      </w:r>
      <w:r w:rsidR="00EE2F80" w:rsidRPr="00227C52">
        <w:rPr>
          <w:rFonts w:ascii="Arial" w:hAnsi="Arial" w:cs="Arial"/>
          <w:color w:val="171717" w:themeColor="background2" w:themeShade="1A"/>
        </w:rPr>
        <w:t>p</w:t>
      </w:r>
      <w:r w:rsidR="00EE2F80" w:rsidRPr="00227C52">
        <w:rPr>
          <w:rFonts w:ascii="Arial" w:hAnsi="Arial" w:cs="Arial"/>
          <w:color w:val="171717" w:themeColor="background2" w:themeShade="1A"/>
        </w:rPr>
        <w:t>ara la implementación de acciones se han constituido varias instituciones y programas en el Ministerio de Desarrollo Rural y en el de Desarrollo Productivo, entre los cuales destacan el Programa de Alianzas Rurales (PAR), la Empresa de apoyo a la Producción de Alimen</w:t>
      </w:r>
      <w:r w:rsidR="00EE2F80" w:rsidRPr="00227C52">
        <w:rPr>
          <w:rFonts w:ascii="Arial" w:hAnsi="Arial" w:cs="Arial"/>
          <w:color w:val="171717" w:themeColor="background2" w:themeShade="1A"/>
        </w:rPr>
        <w:t>tos (EMAPA), PROBOLIVIA</w:t>
      </w:r>
      <w:r w:rsidR="00EE2F80" w:rsidRPr="00227C52">
        <w:rPr>
          <w:rFonts w:ascii="Arial" w:hAnsi="Arial" w:cs="Arial"/>
          <w:color w:val="171717" w:themeColor="background2" w:themeShade="1A"/>
        </w:rPr>
        <w:t>) y el Instituto del Seguro Agrario (INSA).</w:t>
      </w:r>
    </w:p>
    <w:p w:rsidR="00C04EDE" w:rsidRPr="00227C52" w:rsidRDefault="00F47505" w:rsidP="00227C52">
      <w:p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>Según la lectura principal de este módulo e</w:t>
      </w:r>
      <w:r w:rsidR="00C04EDE" w:rsidRPr="00227C52">
        <w:rPr>
          <w:rFonts w:ascii="Arial" w:hAnsi="Arial" w:cs="Arial"/>
          <w:color w:val="171717" w:themeColor="background2" w:themeShade="1A"/>
        </w:rPr>
        <w:t>xisten dos Leyes promulgadas que están orientadas de manera específica a la seguridad y soberanía alimentaria, la N°144 y la N° 338. Ambas redactadas y promovidas por organizaciones campesinas. La Ley N° 144 liderada por organizaciones de carácter más político: la CSUTCB, la CNMCIOB y la CSCIB, mientras que la Ley N° 338 por organizacio</w:t>
      </w:r>
      <w:r w:rsidR="00E4047E" w:rsidRPr="00227C52">
        <w:rPr>
          <w:rFonts w:ascii="Arial" w:hAnsi="Arial" w:cs="Arial"/>
          <w:color w:val="171717" w:themeColor="background2" w:themeShade="1A"/>
        </w:rPr>
        <w:t>nes de carácter más productivo, l</w:t>
      </w:r>
      <w:r w:rsidR="00C04EDE" w:rsidRPr="00227C52">
        <w:rPr>
          <w:rFonts w:ascii="Arial" w:hAnsi="Arial" w:cs="Arial"/>
          <w:color w:val="171717" w:themeColor="background2" w:themeShade="1A"/>
        </w:rPr>
        <w:t xml:space="preserve">a Ley N° 144 es el resultado de la conjunción de dos iniciativas: la “Década Productiva Comunitaria” presentada por la CSUTCB y la preocupación gubernamental ante la crisis alimentaria y elevación de precios a principios de 2011.  </w:t>
      </w:r>
    </w:p>
    <w:p w:rsidR="00EE2F80" w:rsidRPr="00227C52" w:rsidRDefault="00EE2F80" w:rsidP="00CD4879">
      <w:pPr>
        <w:jc w:val="both"/>
        <w:rPr>
          <w:rFonts w:ascii="Arial" w:hAnsi="Arial" w:cs="Arial"/>
          <w:color w:val="171717" w:themeColor="background2" w:themeShade="1A"/>
        </w:rPr>
      </w:pPr>
      <w:r w:rsidRPr="00227C52">
        <w:rPr>
          <w:rFonts w:ascii="Arial" w:hAnsi="Arial" w:cs="Arial"/>
          <w:color w:val="171717" w:themeColor="background2" w:themeShade="1A"/>
        </w:rPr>
        <w:t xml:space="preserve">Concluimos que a partir de algunos planes como Plan Nacional de Bolivia de 2007 y el Plan de “Revolución Rural Agropecuaria y Rural, políticas públicas y leyes se están haciendo algunos intentos de mantener los avances logrados, no obstante, </w:t>
      </w:r>
      <w:r w:rsidR="00227C52" w:rsidRPr="00227C52">
        <w:rPr>
          <w:rFonts w:ascii="Arial" w:hAnsi="Arial" w:cs="Arial"/>
          <w:color w:val="171717" w:themeColor="background2" w:themeShade="1A"/>
        </w:rPr>
        <w:t>hay mucho camino por recorr</w:t>
      </w:r>
      <w:r w:rsidR="00CD4879">
        <w:rPr>
          <w:rFonts w:ascii="Arial" w:hAnsi="Arial" w:cs="Arial"/>
          <w:color w:val="171717" w:themeColor="background2" w:themeShade="1A"/>
        </w:rPr>
        <w:t>er.  Bolivia dio algunos pasos, no obstante, aún son movidas lenta</w:t>
      </w:r>
      <w:r w:rsidR="00CD4879" w:rsidRPr="00CD4879">
        <w:rPr>
          <w:rFonts w:ascii="Arial" w:hAnsi="Arial" w:cs="Arial"/>
          <w:color w:val="171717" w:themeColor="background2" w:themeShade="1A"/>
        </w:rPr>
        <w:t>s</w:t>
      </w:r>
      <w:r w:rsidR="00CD4879">
        <w:rPr>
          <w:rFonts w:ascii="Arial" w:hAnsi="Arial" w:cs="Arial"/>
          <w:color w:val="171717" w:themeColor="background2" w:themeShade="1A"/>
        </w:rPr>
        <w:t xml:space="preserve"> para alcanzar la soberanía alimentaria, en relación a otros países</w:t>
      </w:r>
      <w:bookmarkStart w:id="0" w:name="_GoBack"/>
      <w:bookmarkEnd w:id="0"/>
      <w:r w:rsidR="00CD4879">
        <w:rPr>
          <w:rFonts w:ascii="Arial" w:hAnsi="Arial" w:cs="Arial"/>
          <w:color w:val="171717" w:themeColor="background2" w:themeShade="1A"/>
        </w:rPr>
        <w:t>.</w:t>
      </w:r>
    </w:p>
    <w:p w:rsidR="00903337" w:rsidRPr="00692FFC" w:rsidRDefault="00903337"/>
    <w:sectPr w:rsidR="00903337" w:rsidRPr="00692FFC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076628"/>
      <w:docPartObj>
        <w:docPartGallery w:val="Page Numbers (Top of Page)"/>
        <w:docPartUnique/>
      </w:docPartObj>
    </w:sdtPr>
    <w:sdtEndPr/>
    <w:sdtContent>
      <w:p w:rsidR="00896B13" w:rsidRDefault="00CD4879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D4879">
          <w:rPr>
            <w:noProof/>
            <w:lang w:val="es-ES"/>
          </w:rPr>
          <w:t>4</w:t>
        </w:r>
        <w:r>
          <w:fldChar w:fldCharType="end"/>
        </w:r>
      </w:p>
    </w:sdtContent>
  </w:sdt>
  <w:p w:rsidR="00896B13" w:rsidRDefault="00CD48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272B"/>
    <w:multiLevelType w:val="hybridMultilevel"/>
    <w:tmpl w:val="60728A7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D4E99"/>
    <w:multiLevelType w:val="hybridMultilevel"/>
    <w:tmpl w:val="80B63676"/>
    <w:lvl w:ilvl="0" w:tplc="892E4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1406F"/>
    <w:multiLevelType w:val="hybridMultilevel"/>
    <w:tmpl w:val="F2EC0FD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DE"/>
    <w:rsid w:val="00227C52"/>
    <w:rsid w:val="00553CF9"/>
    <w:rsid w:val="006111C6"/>
    <w:rsid w:val="00692FFC"/>
    <w:rsid w:val="007161E1"/>
    <w:rsid w:val="00812626"/>
    <w:rsid w:val="00903337"/>
    <w:rsid w:val="00C04EDE"/>
    <w:rsid w:val="00CD4879"/>
    <w:rsid w:val="00D932E5"/>
    <w:rsid w:val="00DF3A4D"/>
    <w:rsid w:val="00DF7859"/>
    <w:rsid w:val="00E4047E"/>
    <w:rsid w:val="00EE2F80"/>
    <w:rsid w:val="00F4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18B78A"/>
  <w15:chartTrackingRefBased/>
  <w15:docId w15:val="{DBA21086-9626-430F-AE12-4C16DA09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047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04EDE"/>
    <w:rPr>
      <w:b/>
      <w:bCs/>
    </w:rPr>
  </w:style>
  <w:style w:type="paragraph" w:styleId="Prrafodelista">
    <w:name w:val="List Paragraph"/>
    <w:basedOn w:val="Normal"/>
    <w:uiPriority w:val="34"/>
    <w:qFormat/>
    <w:rsid w:val="00C04E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4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EDE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2007</Words>
  <Characters>11044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Machaca</dc:creator>
  <cp:keywords/>
  <dc:description/>
  <cp:lastModifiedBy>Estela Machaca</cp:lastModifiedBy>
  <cp:revision>7</cp:revision>
  <dcterms:created xsi:type="dcterms:W3CDTF">2017-04-17T02:24:00Z</dcterms:created>
  <dcterms:modified xsi:type="dcterms:W3CDTF">2017-04-17T03:45:00Z</dcterms:modified>
</cp:coreProperties>
</file>