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8D" w:rsidRDefault="00DF6B8D" w:rsidP="00DF6B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 2</w:t>
      </w:r>
    </w:p>
    <w:p w:rsidR="00DF6B8D" w:rsidRDefault="00DF6B8D" w:rsidP="00DF6B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FORO 2</w:t>
      </w:r>
    </w:p>
    <w:p w:rsidR="00DF6B8D" w:rsidRDefault="00DF6B8D" w:rsidP="0075721F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75721F" w:rsidRPr="0075721F" w:rsidRDefault="0075721F" w:rsidP="0075721F">
      <w:pPr>
        <w:jc w:val="both"/>
        <w:rPr>
          <w:rFonts w:ascii="Arial" w:hAnsi="Arial" w:cs="Arial"/>
          <w:b/>
        </w:rPr>
      </w:pPr>
      <w:r w:rsidRPr="0075721F">
        <w:rPr>
          <w:rFonts w:ascii="Arial" w:hAnsi="Arial" w:cs="Arial"/>
          <w:b/>
        </w:rPr>
        <w:t xml:space="preserve">¿Qué relación debería existir entre las disposiciones constitucionales, legales y la acción pública? </w:t>
      </w:r>
    </w:p>
    <w:p w:rsidR="0075721F" w:rsidRDefault="0075721F" w:rsidP="00757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hecho en todos los países debe existir una coherencia entre la norma constitucional y las diferentes normas que se derivan a partir la norma matriz. Con lo cual debería existir una retroalimentación y complementación de estas normas que se derivan. Como en el caso boliviano, existe en las normativas y políticas ecuatoriana </w:t>
      </w:r>
      <w:r w:rsidRPr="007572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unas </w:t>
      </w:r>
      <w:r w:rsidRPr="0075721F">
        <w:rPr>
          <w:rFonts w:ascii="Arial" w:hAnsi="Arial" w:cs="Arial"/>
        </w:rPr>
        <w:t xml:space="preserve">contradicciones entre </w:t>
      </w:r>
      <w:r>
        <w:rPr>
          <w:rFonts w:ascii="Arial" w:hAnsi="Arial" w:cs="Arial"/>
        </w:rPr>
        <w:t xml:space="preserve">lo que debe ser </w:t>
      </w:r>
      <w:r w:rsidRPr="0075721F">
        <w:rPr>
          <w:rFonts w:ascii="Arial" w:hAnsi="Arial" w:cs="Arial"/>
        </w:rPr>
        <w:t xml:space="preserve">el apoyo a la economía campesina familiar y </w:t>
      </w:r>
      <w:r>
        <w:rPr>
          <w:rFonts w:ascii="Arial" w:hAnsi="Arial" w:cs="Arial"/>
        </w:rPr>
        <w:t>la producción agroindustrial, la primera que produce para alimentar a la población dentro del país, y la otra para producir con destino a la exportación, ahí se afecta la seguridad alimentaria dejando a un lado la soberanía.</w:t>
      </w:r>
    </w:p>
    <w:p w:rsidR="0075721F" w:rsidRPr="0075721F" w:rsidRDefault="0075721F" w:rsidP="0075721F">
      <w:pPr>
        <w:jc w:val="both"/>
        <w:rPr>
          <w:rFonts w:ascii="Arial" w:hAnsi="Arial" w:cs="Arial"/>
          <w:b/>
        </w:rPr>
      </w:pPr>
      <w:r w:rsidRPr="0075721F">
        <w:rPr>
          <w:rFonts w:ascii="Arial" w:hAnsi="Arial" w:cs="Arial"/>
          <w:b/>
        </w:rPr>
        <w:t xml:space="preserve">¿Qué otros elementos normativos (tanto de la Constitución como de la legislación derivada) influyen en el diseño de políticas que precautelen la soberanía y la seguridad alimentaria? </w:t>
      </w:r>
    </w:p>
    <w:p w:rsidR="00BA0501" w:rsidRDefault="00BA0501" w:rsidP="00757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Como en la mayoría de países que están en vías de desarrollo, existen instancias que apoyan o coadyuvan con políticas para precautelar la soberanía y seguridad alimentaria. Entre estas se pueden nombrar:</w:t>
      </w:r>
    </w:p>
    <w:p w:rsidR="00BA0501" w:rsidRPr="00BA0501" w:rsidRDefault="00BA0501" w:rsidP="00BA050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A0501">
        <w:rPr>
          <w:rFonts w:ascii="Arial" w:hAnsi="Arial" w:cs="Arial"/>
        </w:rPr>
        <w:t xml:space="preserve">Influencia externas que corresponden a </w:t>
      </w:r>
      <w:r w:rsidR="0082697A" w:rsidRPr="00BA0501">
        <w:rPr>
          <w:rFonts w:ascii="Arial" w:hAnsi="Arial" w:cs="Arial"/>
        </w:rPr>
        <w:t>macro políticas</w:t>
      </w:r>
      <w:r w:rsidRPr="00BA0501">
        <w:rPr>
          <w:rFonts w:ascii="Arial" w:hAnsi="Arial" w:cs="Arial"/>
        </w:rPr>
        <w:t xml:space="preserve"> de organismos internacionales</w:t>
      </w:r>
    </w:p>
    <w:p w:rsidR="00BA0501" w:rsidRPr="00BA0501" w:rsidRDefault="00BA0501" w:rsidP="00BA050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A0501">
        <w:rPr>
          <w:rFonts w:ascii="Arial" w:hAnsi="Arial" w:cs="Arial"/>
        </w:rPr>
        <w:t>Acciones de instituciones no gubernamentales</w:t>
      </w:r>
    </w:p>
    <w:p w:rsidR="00BA0501" w:rsidRDefault="00BA0501" w:rsidP="00757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las normas internas del Ecuador, que precautelan la soberanía y seguridad alimentaria con las siguientes:</w:t>
      </w:r>
    </w:p>
    <w:p w:rsidR="00BA0501" w:rsidRPr="0003506C" w:rsidRDefault="0003506C" w:rsidP="0003506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3506C">
        <w:rPr>
          <w:rFonts w:ascii="Arial" w:hAnsi="Arial" w:cs="Arial"/>
        </w:rPr>
        <w:t xml:space="preserve">Ley de Gestión Ambiental, 22/07/1999.  </w:t>
      </w:r>
    </w:p>
    <w:p w:rsidR="00F8011E" w:rsidRPr="0003506C" w:rsidRDefault="0003506C" w:rsidP="0003506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3506C">
        <w:rPr>
          <w:rFonts w:ascii="Arial" w:hAnsi="Arial" w:cs="Arial"/>
        </w:rPr>
        <w:t>Ley Orgánica de Defensa del Consumidor. 10/07/2000.</w:t>
      </w:r>
    </w:p>
    <w:p w:rsidR="00F8011E" w:rsidRPr="0003506C" w:rsidRDefault="0003506C" w:rsidP="0003506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3506C">
        <w:rPr>
          <w:rFonts w:ascii="Arial" w:hAnsi="Arial" w:cs="Arial"/>
        </w:rPr>
        <w:t>Ley de Seguridad Alimentaria, 27/04/2006.</w:t>
      </w:r>
    </w:p>
    <w:p w:rsidR="00BA0501" w:rsidRPr="0003506C" w:rsidRDefault="00F8011E" w:rsidP="0003506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3506C">
        <w:rPr>
          <w:rFonts w:ascii="Arial" w:hAnsi="Arial" w:cs="Arial"/>
        </w:rPr>
        <w:t>Ley Orgánica de Salud, 22/12/2006.</w:t>
      </w:r>
    </w:p>
    <w:p w:rsidR="00BA0501" w:rsidRDefault="0003506C" w:rsidP="0003506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3506C">
        <w:rPr>
          <w:rFonts w:ascii="Arial" w:hAnsi="Arial" w:cs="Arial"/>
        </w:rPr>
        <w:t>Protocolo de Cartagena sobre Seguridad de la Biotecnología, ratificado por el Ecuador 12/08/2003</w:t>
      </w:r>
    </w:p>
    <w:p w:rsidR="0082697A" w:rsidRDefault="0082697A" w:rsidP="0082697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697A">
        <w:rPr>
          <w:rFonts w:ascii="Arial" w:hAnsi="Arial" w:cs="Arial"/>
        </w:rPr>
        <w:t>La Ley Orgánica de Recursos Hídricos, Usos y Aprovechamiento del Agua</w:t>
      </w:r>
    </w:p>
    <w:p w:rsidR="0082697A" w:rsidRPr="0082697A" w:rsidRDefault="0082697A" w:rsidP="0075721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697A">
        <w:rPr>
          <w:rFonts w:ascii="Arial" w:hAnsi="Arial" w:cs="Arial"/>
        </w:rPr>
        <w:t>La Ley Orgánica de Tierras Rurales y Territorios Ancestrales</w:t>
      </w:r>
    </w:p>
    <w:p w:rsidR="0082697A" w:rsidRDefault="0082697A" w:rsidP="00757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Iván San Miguel Ticona</w:t>
      </w:r>
    </w:p>
    <w:sectPr w:rsidR="008269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A060D"/>
    <w:multiLevelType w:val="hybridMultilevel"/>
    <w:tmpl w:val="BF9C3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72B43"/>
    <w:multiLevelType w:val="hybridMultilevel"/>
    <w:tmpl w:val="BE4E3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1F"/>
    <w:rsid w:val="0003506C"/>
    <w:rsid w:val="005A64CB"/>
    <w:rsid w:val="0075721F"/>
    <w:rsid w:val="0082697A"/>
    <w:rsid w:val="00B45862"/>
    <w:rsid w:val="00BA0501"/>
    <w:rsid w:val="00DE0D70"/>
    <w:rsid w:val="00DF6B8D"/>
    <w:rsid w:val="00F8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F631E-7D53-4649-A126-05F76606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2017-04-24T01:25:00Z</dcterms:created>
  <dcterms:modified xsi:type="dcterms:W3CDTF">2017-04-24T02:05:00Z</dcterms:modified>
</cp:coreProperties>
</file>