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74" w:rsidRPr="001D5D48" w:rsidRDefault="00E81074" w:rsidP="00E8107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iCs/>
          <w:color w:val="222222"/>
        </w:rPr>
      </w:pPr>
      <w:r w:rsidRPr="001D5D48">
        <w:rPr>
          <w:rStyle w:val="Textoennegrita"/>
          <w:rFonts w:ascii="Arial Narrow" w:hAnsi="Arial Narrow"/>
          <w:iCs/>
          <w:color w:val="222222"/>
        </w:rPr>
        <w:t>¿Qué relación debería existir entre las disposiciones constitucionales, legales y la acción pública? </w:t>
      </w:r>
    </w:p>
    <w:p w:rsidR="00334A89" w:rsidRDefault="00B230C1" w:rsidP="0010786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 xml:space="preserve">Las </w:t>
      </w:r>
      <w:r w:rsidR="0010786C">
        <w:rPr>
          <w:rStyle w:val="Textoennegrita"/>
          <w:rFonts w:ascii="Arial Narrow" w:hAnsi="Arial Narrow"/>
          <w:b w:val="0"/>
          <w:iCs/>
          <w:color w:val="222222"/>
        </w:rPr>
        <w:t>relación</w:t>
      </w:r>
      <w:r w:rsidR="00E7413E">
        <w:rPr>
          <w:rStyle w:val="Textoennegrita"/>
          <w:rFonts w:ascii="Arial Narrow" w:hAnsi="Arial Narrow"/>
          <w:b w:val="0"/>
          <w:iCs/>
          <w:color w:val="222222"/>
        </w:rPr>
        <w:t xml:space="preserve"> </w:t>
      </w:r>
      <w:r w:rsidR="001D5D48">
        <w:rPr>
          <w:rStyle w:val="Textoennegrita"/>
          <w:rFonts w:ascii="Arial Narrow" w:hAnsi="Arial Narrow"/>
          <w:b w:val="0"/>
          <w:iCs/>
          <w:color w:val="222222"/>
        </w:rPr>
        <w:t>que a mi entender debiera haber es</w:t>
      </w:r>
      <w:r w:rsidR="0010786C">
        <w:rPr>
          <w:rStyle w:val="Textoennegrita"/>
          <w:rFonts w:ascii="Arial Narrow" w:hAnsi="Arial Narrow"/>
          <w:b w:val="0"/>
          <w:iCs/>
          <w:color w:val="222222"/>
        </w:rPr>
        <w:t>,</w:t>
      </w:r>
      <w:r w:rsidR="001D5D48">
        <w:rPr>
          <w:rStyle w:val="Textoennegrita"/>
          <w:rFonts w:ascii="Arial Narrow" w:hAnsi="Arial Narrow"/>
          <w:b w:val="0"/>
          <w:iCs/>
          <w:color w:val="222222"/>
        </w:rPr>
        <w:t xml:space="preserve"> concordancia entre ambas y en el marco de la retroalimentación, la complementariedad entre ambos </w:t>
      </w:r>
      <w:r w:rsidR="0010786C">
        <w:rPr>
          <w:rStyle w:val="Textoennegrita"/>
          <w:rFonts w:ascii="Arial Narrow" w:hAnsi="Arial Narrow"/>
          <w:b w:val="0"/>
          <w:iCs/>
          <w:color w:val="222222"/>
        </w:rPr>
        <w:t>elementos es fundamental para la coherencia en lo concreto para una aplicación de la norma en la práctica.</w:t>
      </w:r>
    </w:p>
    <w:p w:rsidR="00334A89" w:rsidRPr="00334A89" w:rsidRDefault="0010786C" w:rsidP="0010786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>En el caso ecuatoriano se ve que hay contradicciones entre el apoyo a la economía campesina familiar y con el incentivo a la agroindustria de los alimentos.</w:t>
      </w:r>
      <w:bookmarkStart w:id="0" w:name="_GoBack"/>
      <w:bookmarkEnd w:id="0"/>
    </w:p>
    <w:p w:rsidR="00E81074" w:rsidRPr="001D5D48" w:rsidRDefault="00E81074" w:rsidP="00E8107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iCs/>
          <w:color w:val="222222"/>
        </w:rPr>
      </w:pPr>
      <w:r w:rsidRPr="001D5D48">
        <w:rPr>
          <w:rStyle w:val="Textoennegrita"/>
          <w:rFonts w:ascii="Arial Narrow" w:hAnsi="Arial Narrow"/>
          <w:iCs/>
          <w:color w:val="222222"/>
        </w:rPr>
        <w:t>¿</w:t>
      </w:r>
      <w:r w:rsidR="00334A89" w:rsidRPr="001D5D48">
        <w:rPr>
          <w:rStyle w:val="Textoennegrita"/>
          <w:rFonts w:ascii="Arial Narrow" w:hAnsi="Arial Narrow"/>
          <w:iCs/>
          <w:color w:val="222222"/>
        </w:rPr>
        <w:t>Q</w:t>
      </w:r>
      <w:r w:rsidRPr="001D5D48">
        <w:rPr>
          <w:rStyle w:val="Textoennegrita"/>
          <w:rFonts w:ascii="Arial Narrow" w:hAnsi="Arial Narrow"/>
          <w:iCs/>
          <w:color w:val="222222"/>
        </w:rPr>
        <w:t>ué otros elementos normativos (tanto de la Constitución como de la legislación derivada) influyen en el diseño de políticas que precautelen la soberanía y la seguridad alimentaria? </w:t>
      </w:r>
    </w:p>
    <w:p w:rsidR="00231B32" w:rsidRDefault="00231B32" w:rsidP="00E8107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>Las políticas de Seguridad Alimentaria con Soberanía (SAS) son influenciadas</w:t>
      </w:r>
      <w:r w:rsidR="00EC533F">
        <w:rPr>
          <w:rStyle w:val="Textoennegrita"/>
          <w:rFonts w:ascii="Arial Narrow" w:hAnsi="Arial Narrow"/>
          <w:b w:val="0"/>
          <w:iCs/>
          <w:color w:val="222222"/>
        </w:rPr>
        <w:t xml:space="preserve"> en su diseño</w:t>
      </w:r>
      <w:r>
        <w:rPr>
          <w:rStyle w:val="Textoennegrita"/>
          <w:rFonts w:ascii="Arial Narrow" w:hAnsi="Arial Narrow"/>
          <w:b w:val="0"/>
          <w:iCs/>
          <w:color w:val="222222"/>
        </w:rPr>
        <w:t>, entre otras, por las siguientes instancias:</w:t>
      </w:r>
    </w:p>
    <w:p w:rsidR="00A440D5" w:rsidRDefault="00B90BD7" w:rsidP="00E8107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 xml:space="preserve">Responde a un orden económico (en el caso ecuatoriano y boliviano entre el neoliberalismo y su oposición) </w:t>
      </w:r>
    </w:p>
    <w:p w:rsidR="00231B32" w:rsidRDefault="00231B32" w:rsidP="00E8107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 xml:space="preserve">Responden a </w:t>
      </w:r>
      <w:proofErr w:type="spellStart"/>
      <w:r>
        <w:rPr>
          <w:rStyle w:val="Textoennegrita"/>
          <w:rFonts w:ascii="Arial Narrow" w:hAnsi="Arial Narrow"/>
          <w:b w:val="0"/>
          <w:iCs/>
          <w:color w:val="222222"/>
        </w:rPr>
        <w:t>macropolíticas</w:t>
      </w:r>
      <w:proofErr w:type="spellEnd"/>
      <w:r>
        <w:rPr>
          <w:rStyle w:val="Textoennegrita"/>
          <w:rFonts w:ascii="Arial Narrow" w:hAnsi="Arial Narrow"/>
          <w:b w:val="0"/>
          <w:iCs/>
          <w:color w:val="222222"/>
        </w:rPr>
        <w:t xml:space="preserve"> de organismos internacionales (FMI, BID, BM)</w:t>
      </w:r>
    </w:p>
    <w:p w:rsidR="00231B32" w:rsidRDefault="00231B32" w:rsidP="00E8107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>Actores no gubernamentales (</w:t>
      </w:r>
      <w:proofErr w:type="spellStart"/>
      <w:r>
        <w:rPr>
          <w:rStyle w:val="Textoennegrita"/>
          <w:rFonts w:ascii="Arial Narrow" w:hAnsi="Arial Narrow"/>
          <w:b w:val="0"/>
          <w:iCs/>
          <w:color w:val="222222"/>
        </w:rPr>
        <w:t>ONGs</w:t>
      </w:r>
      <w:proofErr w:type="spellEnd"/>
      <w:r>
        <w:rPr>
          <w:rStyle w:val="Textoennegrita"/>
          <w:rFonts w:ascii="Arial Narrow" w:hAnsi="Arial Narrow"/>
          <w:b w:val="0"/>
          <w:iCs/>
          <w:color w:val="222222"/>
        </w:rPr>
        <w:t>)</w:t>
      </w:r>
    </w:p>
    <w:p w:rsidR="00960E9A" w:rsidRDefault="00960E9A" w:rsidP="001D5D4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>Las normas internas</w:t>
      </w:r>
      <w:r w:rsidR="001D5D48">
        <w:rPr>
          <w:rStyle w:val="Textoennegrita"/>
          <w:rFonts w:ascii="Arial Narrow" w:hAnsi="Arial Narrow"/>
          <w:b w:val="0"/>
          <w:iCs/>
          <w:color w:val="222222"/>
        </w:rPr>
        <w:t xml:space="preserve"> del Estado que apoyan a la SAS, en el caso de la Constitución ecuatoriana podemos mencionar los siguientes artículos: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Derecho</w:t>
      </w:r>
      <w:r>
        <w:rPr>
          <w:rStyle w:val="Textoennegrita"/>
          <w:rFonts w:ascii="Arial Narrow" w:hAnsi="Arial Narrow"/>
          <w:b w:val="0"/>
          <w:iCs/>
          <w:color w:val="222222"/>
        </w:rPr>
        <w:t>s del buen vivir. Ambiente sano</w:t>
      </w:r>
    </w:p>
    <w:p w:rsidR="001D5D48" w:rsidRDefault="001D5D48" w:rsidP="001D5D4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Art. 15. “Se prohíbe…agentes biológicos experimentales nocivos y organismos genéticamente modificados perjudiciales para la salud humana o que atenten contra la soberanía alimentaria o los ecosistemas…”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>Soberanía alimentaria</w:t>
      </w:r>
    </w:p>
    <w:p w:rsidR="001D5D48" w:rsidRDefault="001D5D48" w:rsidP="001D5D4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 xml:space="preserve">Art. 281. Será responsabilidad del Estado. Inciso 6. “Promover la preservación y recuperación de la </w:t>
      </w:r>
      <w:proofErr w:type="spellStart"/>
      <w:r w:rsidRPr="001D5D48">
        <w:rPr>
          <w:rStyle w:val="Textoennegrita"/>
          <w:rFonts w:ascii="Arial Narrow" w:hAnsi="Arial Narrow"/>
          <w:b w:val="0"/>
          <w:iCs/>
          <w:color w:val="222222"/>
        </w:rPr>
        <w:t>agrobiodiversidad</w:t>
      </w:r>
      <w:proofErr w:type="spellEnd"/>
      <w:r w:rsidRPr="001D5D48">
        <w:rPr>
          <w:rStyle w:val="Textoennegrita"/>
          <w:rFonts w:ascii="Arial Narrow" w:hAnsi="Arial Narrow"/>
          <w:b w:val="0"/>
          <w:iCs/>
          <w:color w:val="222222"/>
        </w:rPr>
        <w:t xml:space="preserve"> y de los saberes ancestrales vinculados a ella; así como el uso, la conservación e intercambio libre de semillas”.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B</w:t>
      </w:r>
      <w:r>
        <w:rPr>
          <w:rStyle w:val="Textoennegrita"/>
          <w:rFonts w:ascii="Arial Narrow" w:hAnsi="Arial Narrow"/>
          <w:b w:val="0"/>
          <w:iCs/>
          <w:color w:val="222222"/>
        </w:rPr>
        <w:t>iodiversidad</w:t>
      </w:r>
    </w:p>
    <w:p w:rsidR="001D5D48" w:rsidRDefault="001D5D48" w:rsidP="001D5D4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Art. 401.  “Se declara al Ecuador libre de cultivos y semillas transgénicas. Excepcionalmente, y solo en caso de interés nacional debidamente fundamentado por el Presidente de la República y aprobado por la Asamblea Nacional, se podrá introducir  semillas y cultivos genéticamente modificados. El Estado regulará bajo estrictas normas de seguridad, el uso y desarrollo de la biotecnología moderna y sus productos, así como su experimentación, uso y comercialización. Se prohíbe la aplicación de biotecnologías riesgosas o experimentales”. (1).</w:t>
      </w:r>
    </w:p>
    <w:p w:rsidR="00960E9A" w:rsidRDefault="00960E9A" w:rsidP="00E81074">
      <w:pPr>
        <w:pStyle w:val="NormalWeb"/>
        <w:shd w:val="clear" w:color="auto" w:fill="FFFFFF"/>
        <w:spacing w:before="0" w:beforeAutospacing="0" w:after="150" w:afterAutospacing="0"/>
        <w:rPr>
          <w:rStyle w:val="Textoennegrita"/>
          <w:rFonts w:ascii="Arial Narrow" w:hAnsi="Arial Narrow"/>
          <w:b w:val="0"/>
          <w:iCs/>
          <w:color w:val="222222"/>
        </w:rPr>
      </w:pPr>
    </w:p>
    <w:p w:rsidR="00231B32" w:rsidRDefault="001D5D48" w:rsidP="001D5D48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>
        <w:rPr>
          <w:rStyle w:val="Textoennegrita"/>
          <w:rFonts w:ascii="Arial Narrow" w:hAnsi="Arial Narrow"/>
          <w:b w:val="0"/>
          <w:iCs/>
          <w:color w:val="222222"/>
        </w:rPr>
        <w:t>Entre los elementos, que influencian en el diseño de políticas de SAS, de la legislación derivada podemos mencionar: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lastRenderedPageBreak/>
        <w:t>Legislación vigente sobre transgénicos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Ley de Gestión Ambiental, 22/07/1999.  Establece que es responsabilidad del Ministerio del ramo, regular mediante normas la bioseguridad, la propagación, experimentación, uso, comercialización e importación de organi</w:t>
      </w:r>
      <w:r>
        <w:rPr>
          <w:rStyle w:val="Textoennegrita"/>
          <w:rFonts w:ascii="Arial Narrow" w:hAnsi="Arial Narrow"/>
          <w:b w:val="0"/>
          <w:iCs/>
          <w:color w:val="222222"/>
        </w:rPr>
        <w:t>smos genéticamente modificados.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Reglamento de Registro y Control Sanitario, 18/08/2000. Establece que los productos que se importen deben tener Registro Sanitario y sobre los transgénicos, solo podrán ingresar al país aquellos que hayan sido autoriza</w:t>
      </w:r>
      <w:r>
        <w:rPr>
          <w:rStyle w:val="Textoennegrita"/>
          <w:rFonts w:ascii="Arial Narrow" w:hAnsi="Arial Narrow"/>
          <w:b w:val="0"/>
          <w:iCs/>
          <w:color w:val="222222"/>
        </w:rPr>
        <w:t>dos por el Ministerio de Salud.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Ley Orgánica de Defensa del Consumidor. 10/07/2000. Establece de manera expresa el derecho al acceso a la información sobre productos de origen transgénico y establece que: “si los productos de consumo humano o pecuario a comercializarse han sido obtenidos o mejorados mediante trasplante de genes o, en general manipulación genética, se advertirá tal hecho en la etiqueta del producto, en letras debidamente resaltadas”. Y el Reglamento a esta Ley, 19/03/2001, reformas 25/08/2005. Obliga al INEN, a elaborar una norma para regular el rotulado de productos primarios genéticamente modificados par</w:t>
      </w:r>
      <w:r>
        <w:rPr>
          <w:rStyle w:val="Textoennegrita"/>
          <w:rFonts w:ascii="Arial Narrow" w:hAnsi="Arial Narrow"/>
          <w:b w:val="0"/>
          <w:iCs/>
          <w:color w:val="222222"/>
        </w:rPr>
        <w:t>a el consumo humano o pecuario.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ARCSA. Agencia de Regulación de la Calidad y Vigilancia Sanitaria</w:t>
      </w:r>
      <w:r>
        <w:rPr>
          <w:rStyle w:val="Textoennegrita"/>
          <w:rFonts w:ascii="Arial Narrow" w:hAnsi="Arial Narrow"/>
          <w:b w:val="0"/>
          <w:iCs/>
          <w:color w:val="222222"/>
        </w:rPr>
        <w:t>.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 xml:space="preserve">Es la entidad responsable, entre otras cosas, de controlar que  los productos alimenticios lleven la etiqueta informativa de composición de los alimentos que se expenden entre ellos la presencia de transgénicos </w:t>
      </w:r>
      <w:r>
        <w:rPr>
          <w:rStyle w:val="Textoennegrita"/>
          <w:rFonts w:ascii="Arial Narrow" w:hAnsi="Arial Narrow"/>
          <w:b w:val="0"/>
          <w:iCs/>
          <w:color w:val="222222"/>
        </w:rPr>
        <w:t>o productos derivados de ellos.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Protocolo de Cartagena sobre Seguridad de la Biotecnología, ratificado por el Ecuador 12/08/2003. Trata sobre el movimiento transfronterizo, tránsito, manipulación y utilización de organismos vivos g</w:t>
      </w:r>
      <w:r>
        <w:rPr>
          <w:rStyle w:val="Textoennegrita"/>
          <w:rFonts w:ascii="Arial Narrow" w:hAnsi="Arial Narrow"/>
          <w:b w:val="0"/>
          <w:iCs/>
          <w:color w:val="222222"/>
        </w:rPr>
        <w:t>enéticamente modificados, OVGM.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 xml:space="preserve">Ley de Seguridad Alimentaria, 27/04/2006. Artículo 21. Son responsabilidad del Estado, a través de los organismos competentes, los siguientes: … d) El desarrollo, la producción, manipulación, uso, almacenamiento, transporte, distribución, importación, comercialización y alimentos de consumo humano que sean o contengan productos genéticamente modificados, está prohibido mientras no se demuestre mediante estudios técnicos y científicos, su inocuidad  y seguridad para el consumidor para el ambiente; e) Se prohíbe el uso de alimentos que contengan organismos genéticamente modificados o productos derivados de organismos genéticamente modificados en los </w:t>
      </w:r>
      <w:r>
        <w:rPr>
          <w:rStyle w:val="Textoennegrita"/>
          <w:rFonts w:ascii="Arial Narrow" w:hAnsi="Arial Narrow"/>
          <w:b w:val="0"/>
          <w:iCs/>
          <w:color w:val="222222"/>
        </w:rPr>
        <w:t>programas de ayuda alimentaria…</w:t>
      </w:r>
    </w:p>
    <w:p w:rsidR="001D5D48" w:rsidRPr="001D5D48" w:rsidRDefault="001D5D48" w:rsidP="001D5D48">
      <w:pPr>
        <w:pStyle w:val="NormalWeb"/>
        <w:shd w:val="clear" w:color="auto" w:fill="FFFFFF"/>
        <w:spacing w:after="150"/>
        <w:jc w:val="both"/>
        <w:rPr>
          <w:rStyle w:val="Textoennegrita"/>
          <w:rFonts w:ascii="Arial Narrow" w:hAnsi="Arial Narrow"/>
          <w:b w:val="0"/>
          <w:iCs/>
          <w:color w:val="222222"/>
        </w:rPr>
      </w:pPr>
      <w:r w:rsidRPr="001D5D48">
        <w:rPr>
          <w:rStyle w:val="Textoennegrita"/>
          <w:rFonts w:ascii="Arial Narrow" w:hAnsi="Arial Narrow"/>
          <w:b w:val="0"/>
          <w:iCs/>
          <w:color w:val="222222"/>
        </w:rPr>
        <w:t>Ley Orgánica de Salud, 22/12/2006. Art.  146 literal d), prohíbe  “El uso de materias primas y productos tratados con radiaciones ionizantes o que hayan sido genéticamente modificados en la elaboración de fórmulas para lactantes y alimentos infantiles”.  Art. 149. “El desarrollo, elaboración, producción, aplicación, uso, almacenamiento, transporte, distribución, importación, comercialización y expendio de alimentos para consumo humano que sean o contengan productos genéticamente modificados…” (2)</w:t>
      </w:r>
    </w:p>
    <w:p w:rsidR="00D67C27" w:rsidRDefault="00D67C27"/>
    <w:sectPr w:rsidR="00D67C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74"/>
    <w:rsid w:val="0010786C"/>
    <w:rsid w:val="001D5D48"/>
    <w:rsid w:val="00231B32"/>
    <w:rsid w:val="00334A89"/>
    <w:rsid w:val="00960E9A"/>
    <w:rsid w:val="00A440D5"/>
    <w:rsid w:val="00B230C1"/>
    <w:rsid w:val="00B90BD7"/>
    <w:rsid w:val="00C60239"/>
    <w:rsid w:val="00D67C27"/>
    <w:rsid w:val="00E7413E"/>
    <w:rsid w:val="00E81074"/>
    <w:rsid w:val="00E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81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81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2</cp:revision>
  <dcterms:created xsi:type="dcterms:W3CDTF">2017-04-23T23:13:00Z</dcterms:created>
  <dcterms:modified xsi:type="dcterms:W3CDTF">2017-04-23T23:13:00Z</dcterms:modified>
</cp:coreProperties>
</file>