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1A4" w:rsidRDefault="00E411A4" w:rsidP="00E411A4">
      <w:pPr>
        <w:pStyle w:val="Default"/>
        <w:ind w:right="-852"/>
        <w:jc w:val="both"/>
        <w:rPr>
          <w:rFonts w:ascii="Century Gothic" w:hAnsi="Century Gothic"/>
          <w:b/>
          <w:bCs/>
          <w:sz w:val="22"/>
          <w:szCs w:val="22"/>
        </w:rPr>
      </w:pPr>
      <w:r w:rsidRPr="00E411A4">
        <w:rPr>
          <w:rFonts w:ascii="Century Gothic" w:hAnsi="Century Gothic"/>
          <w:b/>
          <w:bCs/>
          <w:sz w:val="22"/>
          <w:szCs w:val="22"/>
        </w:rPr>
        <w:t xml:space="preserve">La soberanía alimentaria en la Constitución </w:t>
      </w:r>
      <w:r>
        <w:rPr>
          <w:rFonts w:ascii="Century Gothic" w:hAnsi="Century Gothic"/>
          <w:b/>
          <w:bCs/>
          <w:sz w:val="22"/>
          <w:szCs w:val="22"/>
        </w:rPr>
        <w:t>Ecuatoriana</w:t>
      </w:r>
    </w:p>
    <w:p w:rsidR="00E411A4" w:rsidRPr="00E411A4" w:rsidRDefault="00E411A4" w:rsidP="00E411A4">
      <w:pPr>
        <w:pStyle w:val="Default"/>
        <w:ind w:right="-852"/>
        <w:jc w:val="both"/>
        <w:rPr>
          <w:rFonts w:ascii="Century Gothic" w:hAnsi="Century Gothic"/>
          <w:sz w:val="22"/>
          <w:szCs w:val="22"/>
        </w:rPr>
      </w:pPr>
    </w:p>
    <w:p w:rsidR="00E411A4" w:rsidRPr="00E411A4" w:rsidRDefault="00E411A4" w:rsidP="00E411A4">
      <w:pPr>
        <w:pStyle w:val="Default"/>
        <w:ind w:right="-852"/>
        <w:jc w:val="both"/>
        <w:rPr>
          <w:rFonts w:ascii="Century Gothic" w:hAnsi="Century Gothic"/>
          <w:sz w:val="22"/>
          <w:szCs w:val="22"/>
        </w:rPr>
      </w:pPr>
      <w:r w:rsidRPr="00E411A4">
        <w:rPr>
          <w:rFonts w:ascii="Century Gothic" w:hAnsi="Century Gothic"/>
          <w:sz w:val="22"/>
          <w:szCs w:val="22"/>
        </w:rPr>
        <w:t>Los textos que finalmente se plasmaron en la Constitución sobre soberanía alimentaria fueron disputados intensamente debido a la sensibilidad de la temática y al activismo político de los actores más vulnerables</w:t>
      </w:r>
      <w:r w:rsidRPr="00E411A4">
        <w:rPr>
          <w:rFonts w:ascii="Century Gothic" w:hAnsi="Century Gothic"/>
          <w:sz w:val="14"/>
          <w:szCs w:val="14"/>
        </w:rPr>
        <w:t>33</w:t>
      </w:r>
      <w:r w:rsidRPr="00E411A4">
        <w:rPr>
          <w:rFonts w:ascii="Century Gothic" w:hAnsi="Century Gothic"/>
          <w:sz w:val="22"/>
          <w:szCs w:val="22"/>
        </w:rPr>
        <w:t xml:space="preserve">. Visto de forma aislada respecto a otros capítulos de la Constitución, constituyen un avance significativo; pero ya que la interpretación constitucional exige una mirada de conjunto, hay que sopesar su trascendencia e importancia en el marco del diseño de la nueva Constitución. Por lo tanto, se empieza por identificar la estructura de la Constitución, ya que de eso depende la comprensión del discurso del derecho contenido en ella. </w:t>
      </w:r>
    </w:p>
    <w:p w:rsidR="00E411A4" w:rsidRDefault="00E411A4" w:rsidP="00E411A4">
      <w:pPr>
        <w:pStyle w:val="Default"/>
        <w:ind w:right="-852"/>
        <w:jc w:val="both"/>
        <w:rPr>
          <w:rFonts w:ascii="Century Gothic" w:hAnsi="Century Gothic"/>
          <w:sz w:val="22"/>
          <w:szCs w:val="22"/>
        </w:rPr>
      </w:pPr>
    </w:p>
    <w:p w:rsidR="00E411A4" w:rsidRDefault="00E411A4" w:rsidP="00E411A4">
      <w:pPr>
        <w:pStyle w:val="Default"/>
        <w:ind w:right="-852"/>
        <w:jc w:val="both"/>
        <w:rPr>
          <w:rFonts w:ascii="Century Gothic" w:hAnsi="Century Gothic"/>
          <w:sz w:val="22"/>
          <w:szCs w:val="22"/>
        </w:rPr>
      </w:pPr>
      <w:r w:rsidRPr="00E411A4">
        <w:rPr>
          <w:rFonts w:ascii="Century Gothic" w:hAnsi="Century Gothic"/>
          <w:sz w:val="22"/>
          <w:szCs w:val="22"/>
        </w:rPr>
        <w:t xml:space="preserve">La Constitución está compuesta por nueve títulos: </w:t>
      </w:r>
    </w:p>
    <w:p w:rsidR="00E411A4" w:rsidRPr="00E411A4" w:rsidRDefault="00E411A4" w:rsidP="00E411A4">
      <w:pPr>
        <w:pStyle w:val="Default"/>
        <w:ind w:right="-852"/>
        <w:jc w:val="both"/>
        <w:rPr>
          <w:rFonts w:ascii="Century Gothic" w:hAnsi="Century Gothic"/>
          <w:sz w:val="22"/>
          <w:szCs w:val="22"/>
        </w:rPr>
      </w:pPr>
    </w:p>
    <w:p w:rsidR="00E411A4" w:rsidRPr="00E411A4" w:rsidRDefault="00E411A4" w:rsidP="00E411A4">
      <w:pPr>
        <w:pStyle w:val="Default"/>
        <w:spacing w:after="51"/>
        <w:ind w:right="-852"/>
        <w:jc w:val="both"/>
        <w:rPr>
          <w:rFonts w:ascii="Century Gothic" w:hAnsi="Century Gothic"/>
          <w:sz w:val="22"/>
          <w:szCs w:val="22"/>
        </w:rPr>
      </w:pPr>
      <w:r w:rsidRPr="00E411A4">
        <w:rPr>
          <w:rFonts w:ascii="Century Gothic" w:hAnsi="Century Gothic"/>
          <w:sz w:val="22"/>
          <w:szCs w:val="22"/>
        </w:rPr>
        <w:t xml:space="preserve">1. Elementos constitutivos del Estado; </w:t>
      </w:r>
    </w:p>
    <w:p w:rsidR="00E411A4" w:rsidRPr="00E411A4" w:rsidRDefault="00E411A4" w:rsidP="00E411A4">
      <w:pPr>
        <w:pStyle w:val="Default"/>
        <w:spacing w:after="51"/>
        <w:ind w:right="-852"/>
        <w:jc w:val="both"/>
        <w:rPr>
          <w:rFonts w:ascii="Century Gothic" w:hAnsi="Century Gothic"/>
          <w:sz w:val="22"/>
          <w:szCs w:val="22"/>
        </w:rPr>
      </w:pPr>
      <w:r w:rsidRPr="00E411A4">
        <w:rPr>
          <w:rFonts w:ascii="Century Gothic" w:hAnsi="Century Gothic"/>
          <w:sz w:val="22"/>
          <w:szCs w:val="22"/>
        </w:rPr>
        <w:t xml:space="preserve">2. Derechos </w:t>
      </w:r>
    </w:p>
    <w:p w:rsidR="00E411A4" w:rsidRPr="00E411A4" w:rsidRDefault="00E411A4" w:rsidP="00E411A4">
      <w:pPr>
        <w:pStyle w:val="Default"/>
        <w:spacing w:after="51"/>
        <w:ind w:right="-852"/>
        <w:jc w:val="both"/>
        <w:rPr>
          <w:rFonts w:ascii="Century Gothic" w:hAnsi="Century Gothic"/>
          <w:sz w:val="22"/>
          <w:szCs w:val="22"/>
        </w:rPr>
      </w:pPr>
      <w:r w:rsidRPr="00E411A4">
        <w:rPr>
          <w:rFonts w:ascii="Century Gothic" w:hAnsi="Century Gothic"/>
          <w:sz w:val="22"/>
          <w:szCs w:val="22"/>
        </w:rPr>
        <w:t xml:space="preserve">3. Garantías Constitucionales </w:t>
      </w:r>
    </w:p>
    <w:p w:rsidR="00E411A4" w:rsidRPr="00E411A4" w:rsidRDefault="00E411A4" w:rsidP="00E411A4">
      <w:pPr>
        <w:pStyle w:val="Default"/>
        <w:spacing w:after="51"/>
        <w:ind w:right="-852"/>
        <w:jc w:val="both"/>
        <w:rPr>
          <w:rFonts w:ascii="Century Gothic" w:hAnsi="Century Gothic"/>
          <w:sz w:val="22"/>
          <w:szCs w:val="22"/>
        </w:rPr>
      </w:pPr>
      <w:r w:rsidRPr="00E411A4">
        <w:rPr>
          <w:rFonts w:ascii="Century Gothic" w:hAnsi="Century Gothic"/>
          <w:sz w:val="22"/>
          <w:szCs w:val="22"/>
        </w:rPr>
        <w:t xml:space="preserve">4. Participación y organización del poder </w:t>
      </w:r>
    </w:p>
    <w:p w:rsidR="00E411A4" w:rsidRPr="00E411A4" w:rsidRDefault="00E411A4" w:rsidP="00E411A4">
      <w:pPr>
        <w:pStyle w:val="Default"/>
        <w:spacing w:after="51"/>
        <w:ind w:right="-852"/>
        <w:jc w:val="both"/>
        <w:rPr>
          <w:rFonts w:ascii="Century Gothic" w:hAnsi="Century Gothic"/>
          <w:sz w:val="22"/>
          <w:szCs w:val="22"/>
        </w:rPr>
      </w:pPr>
      <w:r w:rsidRPr="00E411A4">
        <w:rPr>
          <w:rFonts w:ascii="Century Gothic" w:hAnsi="Century Gothic"/>
          <w:sz w:val="22"/>
          <w:szCs w:val="22"/>
        </w:rPr>
        <w:t xml:space="preserve">5. Organización territorial del Estado </w:t>
      </w:r>
    </w:p>
    <w:p w:rsidR="00E411A4" w:rsidRPr="00E411A4" w:rsidRDefault="00E411A4" w:rsidP="00E411A4">
      <w:pPr>
        <w:pStyle w:val="Default"/>
        <w:spacing w:after="51"/>
        <w:ind w:right="-852"/>
        <w:jc w:val="both"/>
        <w:rPr>
          <w:rFonts w:ascii="Century Gothic" w:hAnsi="Century Gothic"/>
          <w:sz w:val="22"/>
          <w:szCs w:val="22"/>
        </w:rPr>
      </w:pPr>
      <w:r w:rsidRPr="00E411A4">
        <w:rPr>
          <w:rFonts w:ascii="Century Gothic" w:hAnsi="Century Gothic"/>
          <w:sz w:val="22"/>
          <w:szCs w:val="22"/>
        </w:rPr>
        <w:t xml:space="preserve">6. Régimen de Desarrollo </w:t>
      </w:r>
    </w:p>
    <w:p w:rsidR="00E411A4" w:rsidRPr="00E411A4" w:rsidRDefault="00E411A4" w:rsidP="00E411A4">
      <w:pPr>
        <w:pStyle w:val="Default"/>
        <w:spacing w:after="51"/>
        <w:ind w:right="-852"/>
        <w:jc w:val="both"/>
        <w:rPr>
          <w:rFonts w:ascii="Century Gothic" w:hAnsi="Century Gothic"/>
          <w:sz w:val="22"/>
          <w:szCs w:val="22"/>
        </w:rPr>
      </w:pPr>
      <w:r w:rsidRPr="00E411A4">
        <w:rPr>
          <w:rFonts w:ascii="Century Gothic" w:hAnsi="Century Gothic"/>
          <w:sz w:val="22"/>
          <w:szCs w:val="22"/>
        </w:rPr>
        <w:t xml:space="preserve">7. Régimen del Buen Vivir </w:t>
      </w:r>
    </w:p>
    <w:p w:rsidR="00E411A4" w:rsidRPr="00E411A4" w:rsidRDefault="00E411A4" w:rsidP="00E411A4">
      <w:pPr>
        <w:pStyle w:val="Default"/>
        <w:spacing w:after="51"/>
        <w:ind w:right="-852"/>
        <w:jc w:val="both"/>
        <w:rPr>
          <w:rFonts w:ascii="Century Gothic" w:hAnsi="Century Gothic"/>
          <w:sz w:val="22"/>
          <w:szCs w:val="22"/>
        </w:rPr>
      </w:pPr>
      <w:r w:rsidRPr="00E411A4">
        <w:rPr>
          <w:rFonts w:ascii="Century Gothic" w:hAnsi="Century Gothic"/>
          <w:sz w:val="22"/>
          <w:szCs w:val="22"/>
        </w:rPr>
        <w:t xml:space="preserve">8. Relaciones Internacionales </w:t>
      </w:r>
    </w:p>
    <w:p w:rsidR="00E411A4" w:rsidRPr="00E411A4" w:rsidRDefault="00E411A4" w:rsidP="00E411A4">
      <w:pPr>
        <w:pStyle w:val="Default"/>
        <w:ind w:right="-852"/>
        <w:jc w:val="both"/>
        <w:rPr>
          <w:rFonts w:ascii="Century Gothic" w:hAnsi="Century Gothic"/>
          <w:sz w:val="22"/>
          <w:szCs w:val="22"/>
        </w:rPr>
      </w:pPr>
      <w:r w:rsidRPr="00E411A4">
        <w:rPr>
          <w:rFonts w:ascii="Century Gothic" w:hAnsi="Century Gothic"/>
          <w:sz w:val="22"/>
          <w:szCs w:val="22"/>
        </w:rPr>
        <w:t xml:space="preserve">9. Supremacía de la Constitución </w:t>
      </w:r>
    </w:p>
    <w:p w:rsidR="00E411A4" w:rsidRPr="00E411A4" w:rsidRDefault="00E411A4" w:rsidP="00E411A4">
      <w:pPr>
        <w:pStyle w:val="Default"/>
        <w:ind w:right="-852"/>
        <w:jc w:val="both"/>
        <w:rPr>
          <w:rFonts w:ascii="Century Gothic" w:hAnsi="Century Gothic"/>
          <w:sz w:val="22"/>
          <w:szCs w:val="22"/>
        </w:rPr>
      </w:pPr>
    </w:p>
    <w:p w:rsidR="00E411A4" w:rsidRDefault="00E411A4" w:rsidP="00E411A4">
      <w:pPr>
        <w:pStyle w:val="Default"/>
        <w:ind w:right="-852"/>
        <w:jc w:val="both"/>
        <w:rPr>
          <w:rFonts w:ascii="Century Gothic" w:hAnsi="Century Gothic"/>
          <w:sz w:val="22"/>
          <w:szCs w:val="22"/>
        </w:rPr>
      </w:pPr>
      <w:r w:rsidRPr="00E411A4">
        <w:rPr>
          <w:rFonts w:ascii="Century Gothic" w:hAnsi="Century Gothic"/>
          <w:sz w:val="22"/>
          <w:szCs w:val="22"/>
        </w:rPr>
        <w:t xml:space="preserve">Según esta disposición formal del articulado el deber del Estado de garantizar y respetar los derechos que reconoce la Constitución (artículo 3, numeral 1) se materializa a través del Régimen de Desarrollo, concebido como “el conjunto organizado, sostenible y dinámico de los sistemas económicos, políticos, socio-culturales y ambientales, que garantizan la realización del buen vivir, del </w:t>
      </w:r>
      <w:proofErr w:type="spellStart"/>
      <w:r w:rsidRPr="00E411A4">
        <w:rPr>
          <w:rFonts w:ascii="Century Gothic" w:hAnsi="Century Gothic"/>
          <w:sz w:val="22"/>
          <w:szCs w:val="22"/>
        </w:rPr>
        <w:t>sumak</w:t>
      </w:r>
      <w:proofErr w:type="spellEnd"/>
      <w:r w:rsidRPr="00E411A4">
        <w:rPr>
          <w:rFonts w:ascii="Century Gothic" w:hAnsi="Century Gothic"/>
          <w:sz w:val="22"/>
          <w:szCs w:val="22"/>
        </w:rPr>
        <w:t xml:space="preserve"> </w:t>
      </w:r>
      <w:proofErr w:type="spellStart"/>
      <w:r w:rsidRPr="00E411A4">
        <w:rPr>
          <w:rFonts w:ascii="Century Gothic" w:hAnsi="Century Gothic"/>
          <w:sz w:val="22"/>
          <w:szCs w:val="22"/>
        </w:rPr>
        <w:t>kawsay</w:t>
      </w:r>
      <w:proofErr w:type="spellEnd"/>
      <w:r w:rsidRPr="00E411A4">
        <w:rPr>
          <w:rFonts w:ascii="Century Gothic" w:hAnsi="Century Gothic"/>
          <w:sz w:val="22"/>
          <w:szCs w:val="22"/>
        </w:rPr>
        <w:t xml:space="preserve">” (artículo 275). </w:t>
      </w:r>
    </w:p>
    <w:p w:rsidR="00E411A4" w:rsidRPr="00E411A4" w:rsidRDefault="00E411A4" w:rsidP="00E411A4">
      <w:pPr>
        <w:pStyle w:val="Default"/>
        <w:ind w:right="-852"/>
        <w:jc w:val="both"/>
        <w:rPr>
          <w:rFonts w:ascii="Century Gothic" w:hAnsi="Century Gothic"/>
          <w:sz w:val="22"/>
          <w:szCs w:val="22"/>
        </w:rPr>
      </w:pPr>
    </w:p>
    <w:p w:rsidR="00E411A4" w:rsidRPr="00E411A4" w:rsidRDefault="00E411A4" w:rsidP="00E411A4">
      <w:pPr>
        <w:pStyle w:val="Default"/>
        <w:ind w:right="-852"/>
        <w:jc w:val="both"/>
        <w:rPr>
          <w:rFonts w:ascii="Century Gothic" w:hAnsi="Century Gothic"/>
          <w:sz w:val="22"/>
          <w:szCs w:val="22"/>
        </w:rPr>
      </w:pPr>
      <w:r w:rsidRPr="00E411A4">
        <w:rPr>
          <w:rFonts w:ascii="Century Gothic" w:hAnsi="Century Gothic"/>
          <w:sz w:val="22"/>
          <w:szCs w:val="22"/>
        </w:rPr>
        <w:t xml:space="preserve">Al Estado, o más específicamente a la Función Ejecutiva, se le asigna la tarea de articular este régimen de desarrollo y, por ende, la capacidad de incidir en todos los ámbitos de la actividad </w:t>
      </w:r>
      <w:proofErr w:type="spellStart"/>
      <w:r w:rsidRPr="00E411A4">
        <w:rPr>
          <w:rFonts w:ascii="Century Gothic" w:hAnsi="Century Gothic"/>
          <w:sz w:val="22"/>
          <w:szCs w:val="22"/>
        </w:rPr>
        <w:t>societal</w:t>
      </w:r>
      <w:proofErr w:type="spellEnd"/>
      <w:r w:rsidRPr="00E411A4">
        <w:rPr>
          <w:rFonts w:ascii="Century Gothic" w:hAnsi="Century Gothic"/>
          <w:sz w:val="22"/>
          <w:szCs w:val="22"/>
        </w:rPr>
        <w:t>. La Constitución recupera el papel de la planificación estatal (mediante el Plan Nacional del Desarrollo amparado en el Régimen del Buen Vivir), pero al hacerlo, subordina toda actividad social a dicha planificación, creando un “Leviatán” con alcances inverosímiles. Lejos queda la prescripción teórica que le impone a la democracia constitucional una doble finalidad: “</w:t>
      </w:r>
      <w:r w:rsidRPr="00E411A4">
        <w:rPr>
          <w:rFonts w:ascii="Century Gothic" w:hAnsi="Century Gothic"/>
          <w:i/>
          <w:iCs/>
          <w:sz w:val="22"/>
          <w:szCs w:val="22"/>
        </w:rPr>
        <w:t xml:space="preserve">limitar </w:t>
      </w:r>
      <w:r w:rsidRPr="00E411A4">
        <w:rPr>
          <w:rFonts w:ascii="Century Gothic" w:hAnsi="Century Gothic"/>
          <w:sz w:val="22"/>
          <w:szCs w:val="22"/>
        </w:rPr>
        <w:t xml:space="preserve">el poder político y </w:t>
      </w:r>
      <w:r w:rsidRPr="00E411A4">
        <w:rPr>
          <w:rFonts w:ascii="Century Gothic" w:hAnsi="Century Gothic"/>
          <w:i/>
          <w:iCs/>
          <w:sz w:val="22"/>
          <w:szCs w:val="22"/>
        </w:rPr>
        <w:t xml:space="preserve">distribuirlo </w:t>
      </w:r>
      <w:r w:rsidRPr="00E411A4">
        <w:rPr>
          <w:rFonts w:ascii="Century Gothic" w:hAnsi="Century Gothic"/>
          <w:sz w:val="22"/>
          <w:szCs w:val="22"/>
        </w:rPr>
        <w:t xml:space="preserve">entre los ciudadanos” (Salazar, 2006:45). </w:t>
      </w:r>
    </w:p>
    <w:p w:rsidR="00340383" w:rsidRPr="00E411A4" w:rsidRDefault="00E411A4" w:rsidP="00E411A4">
      <w:pPr>
        <w:ind w:right="-852"/>
        <w:jc w:val="both"/>
        <w:rPr>
          <w:rFonts w:ascii="Century Gothic" w:hAnsi="Century Gothic"/>
        </w:rPr>
      </w:pPr>
      <w:r w:rsidRPr="00E411A4">
        <w:rPr>
          <w:rFonts w:ascii="Century Gothic" w:hAnsi="Century Gothic"/>
        </w:rPr>
        <w:t xml:space="preserve">Siguiendo este diseño, por una parte la Constitución reconoce el derecho a la alimentación en su </w:t>
      </w:r>
      <w:r w:rsidRPr="00E411A4">
        <w:rPr>
          <w:rFonts w:ascii="Century Gothic" w:hAnsi="Century Gothic"/>
          <w:i/>
          <w:iCs/>
        </w:rPr>
        <w:t>artículo 13</w:t>
      </w:r>
      <w:r w:rsidRPr="00E411A4">
        <w:rPr>
          <w:rFonts w:ascii="Century Gothic" w:hAnsi="Century Gothic"/>
        </w:rPr>
        <w:t>:</w:t>
      </w:r>
    </w:p>
    <w:p w:rsidR="00E411A4" w:rsidRPr="00E411A4" w:rsidRDefault="00E411A4" w:rsidP="00E411A4">
      <w:pPr>
        <w:ind w:right="-852"/>
        <w:jc w:val="both"/>
        <w:rPr>
          <w:rFonts w:ascii="Century Gothic" w:hAnsi="Century Gothic"/>
          <w:i/>
          <w:iCs/>
        </w:rPr>
      </w:pPr>
      <w:r w:rsidRPr="00E411A4">
        <w:rPr>
          <w:rFonts w:ascii="Century Gothic" w:hAnsi="Century Gothic"/>
          <w:i/>
          <w:iCs/>
        </w:rPr>
        <w:t>“Las personas y colectividades tienen derecho al acceso seguro y permanente a alimentos sanos, suficientes y nutritivos, preferentemente producidos a nivel local y en correspondencia con sus diversas identidades y tradiciones culturales. El Estado ecuatoriano promoverá la soberanía alimentaria”.</w:t>
      </w:r>
    </w:p>
    <w:p w:rsidR="00E411A4" w:rsidRPr="00E411A4" w:rsidRDefault="00E411A4" w:rsidP="00E411A4">
      <w:pPr>
        <w:ind w:right="-852"/>
        <w:jc w:val="both"/>
        <w:rPr>
          <w:rFonts w:ascii="Century Gothic" w:hAnsi="Century Gothic"/>
        </w:rPr>
      </w:pPr>
      <w:r w:rsidRPr="00E411A4">
        <w:rPr>
          <w:rFonts w:ascii="Century Gothic" w:hAnsi="Century Gothic"/>
        </w:rPr>
        <w:t xml:space="preserve">Por otra parte, en su </w:t>
      </w:r>
      <w:r w:rsidRPr="00E411A4">
        <w:rPr>
          <w:rFonts w:ascii="Century Gothic" w:hAnsi="Century Gothic"/>
          <w:b/>
          <w:bCs/>
          <w:i/>
          <w:iCs/>
        </w:rPr>
        <w:t xml:space="preserve">artículo 281 </w:t>
      </w:r>
      <w:r w:rsidRPr="00E411A4">
        <w:rPr>
          <w:rFonts w:ascii="Century Gothic" w:hAnsi="Century Gothic"/>
        </w:rPr>
        <w:t>la Constitución determina una directriz para la política pública del Estado sobre la soberanía alimentaria:</w:t>
      </w:r>
    </w:p>
    <w:p w:rsidR="00E411A4" w:rsidRPr="00E411A4" w:rsidRDefault="00E411A4" w:rsidP="00E411A4">
      <w:pPr>
        <w:pStyle w:val="Default"/>
        <w:ind w:right="-852"/>
        <w:jc w:val="both"/>
        <w:rPr>
          <w:rFonts w:ascii="Century Gothic" w:hAnsi="Century Gothic"/>
          <w:sz w:val="22"/>
          <w:szCs w:val="22"/>
        </w:rPr>
      </w:pPr>
      <w:r w:rsidRPr="00E411A4">
        <w:rPr>
          <w:rFonts w:ascii="Century Gothic" w:hAnsi="Century Gothic"/>
          <w:sz w:val="22"/>
          <w:szCs w:val="22"/>
        </w:rPr>
        <w:t xml:space="preserve">Para ello, será responsabilidad del Estado: </w:t>
      </w:r>
    </w:p>
    <w:p w:rsidR="00E411A4" w:rsidRPr="00E411A4" w:rsidRDefault="00E411A4" w:rsidP="00E411A4">
      <w:pPr>
        <w:pStyle w:val="Default"/>
        <w:ind w:right="-852"/>
        <w:jc w:val="both"/>
        <w:rPr>
          <w:rFonts w:ascii="Century Gothic" w:hAnsi="Century Gothic"/>
          <w:sz w:val="22"/>
          <w:szCs w:val="22"/>
        </w:rPr>
      </w:pPr>
      <w:r w:rsidRPr="00E411A4">
        <w:rPr>
          <w:rFonts w:ascii="Century Gothic" w:hAnsi="Century Gothic"/>
          <w:sz w:val="22"/>
          <w:szCs w:val="22"/>
        </w:rPr>
        <w:lastRenderedPageBreak/>
        <w:t xml:space="preserve">1. Impulsar la producción, transformación agroalimentaria y pesquera de las pequeñas y medianas unidades de producción, comunitarias y de la economía social y solidaria. </w:t>
      </w:r>
    </w:p>
    <w:p w:rsidR="00E411A4" w:rsidRPr="00E411A4" w:rsidRDefault="00E411A4" w:rsidP="00E411A4">
      <w:pPr>
        <w:pStyle w:val="Default"/>
        <w:ind w:right="-852"/>
        <w:jc w:val="both"/>
        <w:rPr>
          <w:rFonts w:ascii="Century Gothic" w:hAnsi="Century Gothic"/>
          <w:sz w:val="22"/>
          <w:szCs w:val="22"/>
        </w:rPr>
      </w:pPr>
      <w:r w:rsidRPr="00E411A4">
        <w:rPr>
          <w:rFonts w:ascii="Century Gothic" w:hAnsi="Century Gothic"/>
          <w:sz w:val="22"/>
          <w:szCs w:val="22"/>
        </w:rPr>
        <w:t xml:space="preserve">2. Adoptar políticas fiscales, tributarias y arancelarias que protejan al sector agroalimentario y pesquero nacional, para evitar la dependencia de importaciones de alimentos. </w:t>
      </w:r>
    </w:p>
    <w:p w:rsidR="00E411A4" w:rsidRPr="00E411A4" w:rsidRDefault="00E411A4" w:rsidP="00E411A4">
      <w:pPr>
        <w:pStyle w:val="Default"/>
        <w:ind w:right="-852"/>
        <w:jc w:val="both"/>
        <w:rPr>
          <w:rFonts w:ascii="Century Gothic" w:hAnsi="Century Gothic"/>
          <w:sz w:val="22"/>
          <w:szCs w:val="22"/>
        </w:rPr>
      </w:pPr>
      <w:r w:rsidRPr="00E411A4">
        <w:rPr>
          <w:rFonts w:ascii="Century Gothic" w:hAnsi="Century Gothic"/>
          <w:sz w:val="22"/>
          <w:szCs w:val="22"/>
        </w:rPr>
        <w:t xml:space="preserve">3. Fortalecer la diversificación y la introducción de tecnologías ecológicas y orgánicas en la producción agropecuaria. </w:t>
      </w:r>
    </w:p>
    <w:p w:rsidR="00E411A4" w:rsidRPr="00E411A4" w:rsidRDefault="00E411A4" w:rsidP="00E411A4">
      <w:pPr>
        <w:pStyle w:val="Default"/>
        <w:ind w:right="-852"/>
        <w:jc w:val="both"/>
        <w:rPr>
          <w:rFonts w:ascii="Century Gothic" w:hAnsi="Century Gothic"/>
          <w:sz w:val="22"/>
          <w:szCs w:val="22"/>
        </w:rPr>
      </w:pPr>
      <w:r w:rsidRPr="00E411A4">
        <w:rPr>
          <w:rFonts w:ascii="Century Gothic" w:hAnsi="Century Gothic"/>
          <w:sz w:val="22"/>
          <w:szCs w:val="22"/>
        </w:rPr>
        <w:t xml:space="preserve">4. Promover políticas redistributivas que permitan el acceso del campesinado a la tierra, al agua y otros recursos productivos. </w:t>
      </w:r>
    </w:p>
    <w:p w:rsidR="00E411A4" w:rsidRPr="00E411A4" w:rsidRDefault="00E411A4" w:rsidP="00E411A4">
      <w:pPr>
        <w:pStyle w:val="Default"/>
        <w:ind w:right="-852"/>
        <w:jc w:val="both"/>
        <w:rPr>
          <w:rFonts w:ascii="Century Gothic" w:hAnsi="Century Gothic"/>
          <w:sz w:val="22"/>
          <w:szCs w:val="22"/>
        </w:rPr>
      </w:pPr>
      <w:r w:rsidRPr="00E411A4">
        <w:rPr>
          <w:rFonts w:ascii="Century Gothic" w:hAnsi="Century Gothic"/>
          <w:sz w:val="22"/>
          <w:szCs w:val="22"/>
        </w:rPr>
        <w:t xml:space="preserve">5. Establecer mecanismos preferenciales de financiamiento para los pequeños </w:t>
      </w:r>
      <w:proofErr w:type="spellStart"/>
      <w:r w:rsidRPr="00E411A4">
        <w:rPr>
          <w:rFonts w:ascii="Century Gothic" w:hAnsi="Century Gothic"/>
          <w:sz w:val="22"/>
          <w:szCs w:val="22"/>
        </w:rPr>
        <w:t>u</w:t>
      </w:r>
      <w:proofErr w:type="spellEnd"/>
      <w:r w:rsidRPr="00E411A4">
        <w:rPr>
          <w:rFonts w:ascii="Century Gothic" w:hAnsi="Century Gothic"/>
          <w:sz w:val="22"/>
          <w:szCs w:val="22"/>
        </w:rPr>
        <w:t xml:space="preserve"> medianos productores y productoras, facilitándoles la adquisición de medios de producción. </w:t>
      </w:r>
    </w:p>
    <w:p w:rsidR="000E7D69" w:rsidRDefault="00E411A4" w:rsidP="00E411A4">
      <w:pPr>
        <w:pStyle w:val="Default"/>
        <w:ind w:right="-852"/>
        <w:jc w:val="both"/>
        <w:rPr>
          <w:rFonts w:ascii="Century Gothic" w:hAnsi="Century Gothic"/>
          <w:sz w:val="22"/>
          <w:szCs w:val="22"/>
        </w:rPr>
      </w:pPr>
      <w:r w:rsidRPr="00E411A4">
        <w:rPr>
          <w:rFonts w:ascii="Century Gothic" w:hAnsi="Century Gothic"/>
          <w:sz w:val="22"/>
          <w:szCs w:val="22"/>
        </w:rPr>
        <w:t>6. Promover la preservación y recuperación de la agro-biodiversidad y de los saberes ancestrales vinculados a ella; así como el uso, la conservación e intercambio libre de semillas</w:t>
      </w:r>
    </w:p>
    <w:p w:rsidR="00E411A4" w:rsidRDefault="00E411A4" w:rsidP="00E411A4">
      <w:pPr>
        <w:pStyle w:val="Default"/>
        <w:ind w:right="-852"/>
        <w:jc w:val="both"/>
        <w:rPr>
          <w:rFonts w:ascii="Century Gothic" w:hAnsi="Century Gothic"/>
          <w:sz w:val="22"/>
          <w:szCs w:val="22"/>
        </w:rPr>
      </w:pPr>
    </w:p>
    <w:p w:rsidR="00E411A4" w:rsidRPr="00E411A4" w:rsidRDefault="00E411A4" w:rsidP="00E411A4">
      <w:pPr>
        <w:pStyle w:val="Default"/>
        <w:pageBreakBefore/>
        <w:ind w:right="-852"/>
        <w:jc w:val="both"/>
        <w:rPr>
          <w:rFonts w:ascii="Century Gothic" w:hAnsi="Century Gothic" w:cstheme="minorBidi"/>
          <w:color w:val="auto"/>
          <w:sz w:val="22"/>
          <w:szCs w:val="22"/>
        </w:rPr>
      </w:pPr>
      <w:bookmarkStart w:id="0" w:name="_GoBack"/>
      <w:bookmarkEnd w:id="0"/>
      <w:r w:rsidRPr="00E411A4">
        <w:rPr>
          <w:rFonts w:ascii="Century Gothic" w:hAnsi="Century Gothic" w:cstheme="minorBidi"/>
          <w:color w:val="auto"/>
          <w:sz w:val="22"/>
          <w:szCs w:val="22"/>
        </w:rPr>
        <w:lastRenderedPageBreak/>
        <w:t xml:space="preserve">7. Precautelar que los animales destinados a la alimentación humana estén sanos y sean criados en un entorno saludable. </w:t>
      </w:r>
    </w:p>
    <w:p w:rsidR="00E411A4" w:rsidRPr="00E411A4" w:rsidRDefault="00E411A4" w:rsidP="00E411A4">
      <w:pPr>
        <w:pStyle w:val="Default"/>
        <w:ind w:right="-852"/>
        <w:jc w:val="both"/>
        <w:rPr>
          <w:rFonts w:ascii="Century Gothic" w:hAnsi="Century Gothic" w:cstheme="minorBidi"/>
          <w:color w:val="auto"/>
          <w:sz w:val="22"/>
          <w:szCs w:val="22"/>
        </w:rPr>
      </w:pPr>
      <w:r w:rsidRPr="00E411A4">
        <w:rPr>
          <w:rFonts w:ascii="Century Gothic" w:hAnsi="Century Gothic" w:cstheme="minorBidi"/>
          <w:color w:val="auto"/>
          <w:sz w:val="22"/>
          <w:szCs w:val="22"/>
        </w:rPr>
        <w:t xml:space="preserve">8. Asegurar el desarrollo de la investigación científica y de la innovación tecnológica apropiada para garantizar la soberanía alimentaria. </w:t>
      </w:r>
    </w:p>
    <w:p w:rsidR="00E411A4" w:rsidRPr="00E411A4" w:rsidRDefault="00E411A4" w:rsidP="00E411A4">
      <w:pPr>
        <w:pStyle w:val="Default"/>
        <w:ind w:right="-852"/>
        <w:jc w:val="both"/>
        <w:rPr>
          <w:rFonts w:ascii="Century Gothic" w:hAnsi="Century Gothic" w:cstheme="minorBidi"/>
          <w:color w:val="auto"/>
          <w:sz w:val="22"/>
          <w:szCs w:val="22"/>
        </w:rPr>
      </w:pPr>
      <w:r w:rsidRPr="00E411A4">
        <w:rPr>
          <w:rFonts w:ascii="Century Gothic" w:hAnsi="Century Gothic" w:cstheme="minorBidi"/>
          <w:color w:val="auto"/>
          <w:sz w:val="22"/>
          <w:szCs w:val="22"/>
        </w:rPr>
        <w:t xml:space="preserve">9. Regular bajo normas de bioseguridad el uso y desarrollo de biotecnología, así como su experimentación, uso y comercialización. </w:t>
      </w:r>
    </w:p>
    <w:p w:rsidR="00E411A4" w:rsidRPr="00E411A4" w:rsidRDefault="00E411A4" w:rsidP="00E411A4">
      <w:pPr>
        <w:pStyle w:val="Default"/>
        <w:ind w:right="-852"/>
        <w:jc w:val="both"/>
        <w:rPr>
          <w:rFonts w:ascii="Century Gothic" w:hAnsi="Century Gothic" w:cstheme="minorBidi"/>
          <w:color w:val="auto"/>
          <w:sz w:val="22"/>
          <w:szCs w:val="22"/>
        </w:rPr>
      </w:pPr>
      <w:r w:rsidRPr="00E411A4">
        <w:rPr>
          <w:rFonts w:ascii="Century Gothic" w:hAnsi="Century Gothic" w:cstheme="minorBidi"/>
          <w:color w:val="auto"/>
          <w:sz w:val="22"/>
          <w:szCs w:val="22"/>
        </w:rPr>
        <w:t xml:space="preserve">10. Fortalecer el desarrollo de organizaciones y redes de productores y de consumidores, así como la de comercialización y distribución de alimentos que promuevan la equidad entre espacios rurales y urbanos. </w:t>
      </w:r>
    </w:p>
    <w:p w:rsidR="00E411A4" w:rsidRPr="00E411A4" w:rsidRDefault="00E411A4" w:rsidP="00E411A4">
      <w:pPr>
        <w:pStyle w:val="Default"/>
        <w:ind w:right="-852"/>
        <w:jc w:val="both"/>
        <w:rPr>
          <w:rFonts w:ascii="Century Gothic" w:hAnsi="Century Gothic" w:cstheme="minorBidi"/>
          <w:color w:val="auto"/>
          <w:sz w:val="22"/>
          <w:szCs w:val="22"/>
        </w:rPr>
      </w:pPr>
      <w:r w:rsidRPr="00E411A4">
        <w:rPr>
          <w:rFonts w:ascii="Century Gothic" w:hAnsi="Century Gothic" w:cstheme="minorBidi"/>
          <w:color w:val="auto"/>
          <w:sz w:val="22"/>
          <w:szCs w:val="22"/>
        </w:rPr>
        <w:t xml:space="preserve">11. Generar sistemas justos y solidarios de distribución y comercialización de alimentos. Impedir prácticas monopólicas y cualquier tipo de especulación con productos alimenticios. </w:t>
      </w:r>
    </w:p>
    <w:p w:rsidR="00E411A4" w:rsidRPr="00E411A4" w:rsidRDefault="00E411A4" w:rsidP="00E411A4">
      <w:pPr>
        <w:pStyle w:val="Default"/>
        <w:ind w:right="-852"/>
        <w:jc w:val="both"/>
        <w:rPr>
          <w:rFonts w:ascii="Century Gothic" w:hAnsi="Century Gothic" w:cstheme="minorBidi"/>
          <w:color w:val="auto"/>
          <w:sz w:val="22"/>
          <w:szCs w:val="22"/>
        </w:rPr>
      </w:pPr>
      <w:r w:rsidRPr="00E411A4">
        <w:rPr>
          <w:rFonts w:ascii="Century Gothic" w:hAnsi="Century Gothic" w:cstheme="minorBidi"/>
          <w:color w:val="auto"/>
          <w:sz w:val="22"/>
          <w:szCs w:val="22"/>
        </w:rPr>
        <w:t xml:space="preserve">12. Dotar de alimentos a las poblaciones víctimas de desastres naturales o antrópicos que pongan en riesgo el acceso a la alimentación. Los alimentos recibidos de ayuda internacional no deberán afectar la salud ni el futuro de la producción de alimentos producidos localmente. </w:t>
      </w:r>
    </w:p>
    <w:p w:rsidR="00E411A4" w:rsidRPr="00E411A4" w:rsidRDefault="00E411A4" w:rsidP="00E411A4">
      <w:pPr>
        <w:pStyle w:val="Default"/>
        <w:ind w:right="-852"/>
        <w:jc w:val="both"/>
        <w:rPr>
          <w:rFonts w:ascii="Century Gothic" w:hAnsi="Century Gothic" w:cstheme="minorBidi"/>
          <w:color w:val="auto"/>
          <w:sz w:val="22"/>
          <w:szCs w:val="22"/>
        </w:rPr>
      </w:pPr>
      <w:r w:rsidRPr="00E411A4">
        <w:rPr>
          <w:rFonts w:ascii="Century Gothic" w:hAnsi="Century Gothic" w:cstheme="minorBidi"/>
          <w:color w:val="auto"/>
          <w:sz w:val="22"/>
          <w:szCs w:val="22"/>
        </w:rPr>
        <w:t xml:space="preserve">13. Prevenir y proteger a la población del consumo de alimentos contaminados o que pongan en riesgo su salud o que la ciencia tenga incertidumbre sobre sus efectos. </w:t>
      </w:r>
    </w:p>
    <w:p w:rsidR="00E411A4" w:rsidRPr="00E411A4" w:rsidRDefault="00E411A4" w:rsidP="00E411A4">
      <w:pPr>
        <w:ind w:right="-852"/>
        <w:jc w:val="both"/>
        <w:rPr>
          <w:rFonts w:ascii="Century Gothic" w:hAnsi="Century Gothic"/>
        </w:rPr>
      </w:pPr>
      <w:r w:rsidRPr="00E411A4">
        <w:rPr>
          <w:rFonts w:ascii="Century Gothic" w:hAnsi="Century Gothic"/>
        </w:rPr>
        <w:t>14. Adquirir alimentos y materias primas para programas sociales y alimenticios, prioritariamente a redes asociativas de pequeños productores y productoras.</w:t>
      </w:r>
    </w:p>
    <w:p w:rsidR="00E411A4" w:rsidRPr="00E411A4" w:rsidRDefault="00E411A4" w:rsidP="00E411A4">
      <w:pPr>
        <w:ind w:right="-852"/>
        <w:jc w:val="both"/>
        <w:rPr>
          <w:rFonts w:ascii="Century Gothic" w:hAnsi="Century Gothic"/>
        </w:rPr>
      </w:pPr>
    </w:p>
    <w:p w:rsidR="00E411A4" w:rsidRPr="00E411A4" w:rsidRDefault="00E411A4" w:rsidP="00E411A4">
      <w:pPr>
        <w:pStyle w:val="Default"/>
        <w:ind w:right="-852"/>
        <w:jc w:val="both"/>
        <w:rPr>
          <w:rFonts w:ascii="Century Gothic" w:hAnsi="Century Gothic"/>
          <w:sz w:val="22"/>
          <w:szCs w:val="22"/>
        </w:rPr>
      </w:pPr>
      <w:r w:rsidRPr="00E411A4">
        <w:rPr>
          <w:rFonts w:ascii="Century Gothic" w:hAnsi="Century Gothic"/>
          <w:sz w:val="22"/>
          <w:szCs w:val="22"/>
        </w:rPr>
        <w:t xml:space="preserve">Además de estas disposiciones, la Constitución contempla una seria de directrices para la política pública, tales como: </w:t>
      </w:r>
    </w:p>
    <w:p w:rsidR="00E411A4" w:rsidRPr="00E411A4" w:rsidRDefault="00E411A4" w:rsidP="00E411A4">
      <w:pPr>
        <w:pStyle w:val="Default"/>
        <w:numPr>
          <w:ilvl w:val="0"/>
          <w:numId w:val="3"/>
        </w:numPr>
        <w:spacing w:after="24"/>
        <w:ind w:right="-852"/>
        <w:jc w:val="both"/>
        <w:rPr>
          <w:rFonts w:ascii="Century Gothic" w:hAnsi="Century Gothic"/>
          <w:sz w:val="22"/>
          <w:szCs w:val="22"/>
        </w:rPr>
      </w:pPr>
      <w:r w:rsidRPr="00E411A4">
        <w:rPr>
          <w:rFonts w:ascii="Century Gothic" w:hAnsi="Century Gothic"/>
          <w:sz w:val="22"/>
          <w:szCs w:val="22"/>
        </w:rPr>
        <w:t xml:space="preserve">“Asegurar la soberanía alimentaria y energética”, como objetivo de la política económica (artículo 284) </w:t>
      </w:r>
    </w:p>
    <w:p w:rsidR="00E411A4" w:rsidRPr="00E411A4" w:rsidRDefault="00E411A4" w:rsidP="00E411A4">
      <w:pPr>
        <w:pStyle w:val="Default"/>
        <w:numPr>
          <w:ilvl w:val="0"/>
          <w:numId w:val="3"/>
        </w:numPr>
        <w:spacing w:after="24"/>
        <w:ind w:right="-852"/>
        <w:jc w:val="both"/>
        <w:rPr>
          <w:rFonts w:ascii="Century Gothic" w:hAnsi="Century Gothic"/>
          <w:sz w:val="22"/>
          <w:szCs w:val="22"/>
        </w:rPr>
      </w:pPr>
      <w:r w:rsidRPr="00E411A4">
        <w:rPr>
          <w:rFonts w:ascii="Century Gothic" w:hAnsi="Century Gothic"/>
          <w:sz w:val="22"/>
          <w:szCs w:val="22"/>
        </w:rPr>
        <w:t>Normar el uso y acceso a la tierra que siempre deberá cumplir la función social y ambiental (artículo 282)</w:t>
      </w:r>
    </w:p>
    <w:p w:rsidR="00E411A4" w:rsidRPr="00E411A4" w:rsidRDefault="00E411A4" w:rsidP="00E411A4">
      <w:pPr>
        <w:pStyle w:val="Default"/>
        <w:numPr>
          <w:ilvl w:val="0"/>
          <w:numId w:val="3"/>
        </w:numPr>
        <w:ind w:right="-852"/>
        <w:jc w:val="both"/>
        <w:rPr>
          <w:rFonts w:ascii="Century Gothic" w:hAnsi="Century Gothic"/>
          <w:sz w:val="22"/>
          <w:szCs w:val="22"/>
        </w:rPr>
      </w:pPr>
      <w:r w:rsidRPr="00E411A4">
        <w:rPr>
          <w:rFonts w:ascii="Century Gothic" w:hAnsi="Century Gothic"/>
          <w:sz w:val="22"/>
          <w:szCs w:val="22"/>
        </w:rPr>
        <w:t xml:space="preserve">Crear un fondo nacional de tierras, establecido por ley, que regulará el acceso equitativo de campesinos y campesinas a la tierra (artículo 282). </w:t>
      </w:r>
    </w:p>
    <w:p w:rsidR="00E411A4" w:rsidRPr="00E411A4" w:rsidRDefault="00E411A4" w:rsidP="00E411A4">
      <w:pPr>
        <w:pStyle w:val="Default"/>
        <w:ind w:right="-852"/>
        <w:jc w:val="both"/>
        <w:rPr>
          <w:rFonts w:ascii="Century Gothic" w:hAnsi="Century Gothic"/>
          <w:sz w:val="22"/>
          <w:szCs w:val="22"/>
        </w:rPr>
      </w:pPr>
    </w:p>
    <w:p w:rsidR="00E411A4" w:rsidRPr="00E411A4" w:rsidRDefault="00E411A4" w:rsidP="00E411A4">
      <w:pPr>
        <w:pStyle w:val="Default"/>
        <w:ind w:right="-852"/>
        <w:jc w:val="both"/>
        <w:rPr>
          <w:rFonts w:ascii="Century Gothic" w:hAnsi="Century Gothic" w:cstheme="minorBidi"/>
          <w:color w:val="auto"/>
        </w:rPr>
      </w:pPr>
    </w:p>
    <w:p w:rsidR="00E411A4" w:rsidRPr="00E411A4" w:rsidRDefault="00E411A4" w:rsidP="00E411A4">
      <w:pPr>
        <w:pStyle w:val="Default"/>
        <w:pageBreakBefore/>
        <w:ind w:right="-852"/>
        <w:jc w:val="both"/>
        <w:rPr>
          <w:rFonts w:ascii="Century Gothic" w:hAnsi="Century Gothic" w:cstheme="minorBidi"/>
          <w:color w:val="auto"/>
        </w:rPr>
      </w:pPr>
    </w:p>
    <w:p w:rsidR="00E411A4" w:rsidRPr="00E411A4" w:rsidRDefault="00E411A4" w:rsidP="00E411A4">
      <w:pPr>
        <w:pStyle w:val="Default"/>
        <w:spacing w:after="139"/>
        <w:ind w:right="-852"/>
        <w:jc w:val="both"/>
        <w:rPr>
          <w:rFonts w:ascii="Century Gothic" w:hAnsi="Century Gothic" w:cstheme="minorBidi"/>
          <w:color w:val="auto"/>
          <w:sz w:val="22"/>
          <w:szCs w:val="22"/>
        </w:rPr>
      </w:pPr>
      <w:r w:rsidRPr="00E411A4">
        <w:rPr>
          <w:rFonts w:ascii="Century Gothic" w:hAnsi="Century Gothic" w:cstheme="minorBidi"/>
          <w:color w:val="auto"/>
          <w:sz w:val="22"/>
          <w:szCs w:val="22"/>
        </w:rPr>
        <w:t xml:space="preserve"> Prohibir el latifundio (aunque sin definirlo) y la concentración de la tierra, así como el acaparamiento o privatización del agua y sus fuentes (artículo 282). </w:t>
      </w:r>
    </w:p>
    <w:p w:rsidR="00E411A4" w:rsidRPr="00E411A4" w:rsidRDefault="00E411A4" w:rsidP="00E411A4">
      <w:pPr>
        <w:pStyle w:val="Default"/>
        <w:spacing w:after="139"/>
        <w:ind w:right="-852"/>
        <w:jc w:val="both"/>
        <w:rPr>
          <w:rFonts w:ascii="Century Gothic" w:hAnsi="Century Gothic" w:cstheme="minorBidi"/>
          <w:color w:val="auto"/>
          <w:sz w:val="22"/>
          <w:szCs w:val="22"/>
        </w:rPr>
      </w:pPr>
      <w:r w:rsidRPr="00E411A4">
        <w:rPr>
          <w:rFonts w:ascii="Century Gothic" w:hAnsi="Century Gothic" w:cstheme="minorBidi"/>
          <w:color w:val="auto"/>
          <w:sz w:val="22"/>
          <w:szCs w:val="22"/>
        </w:rPr>
        <w:t xml:space="preserve"> “El Estado regulará el uso y manejo del agua de riego para la producción de alimentos, bajo los principios de equidad, eficiencia y sostenibilidad” (artículo 282). </w:t>
      </w:r>
    </w:p>
    <w:p w:rsidR="00E411A4" w:rsidRPr="00E411A4" w:rsidRDefault="00E411A4" w:rsidP="00E411A4">
      <w:pPr>
        <w:pStyle w:val="Default"/>
        <w:spacing w:after="139"/>
        <w:ind w:right="-852"/>
        <w:jc w:val="both"/>
        <w:rPr>
          <w:rFonts w:ascii="Century Gothic" w:hAnsi="Century Gothic" w:cstheme="minorBidi"/>
          <w:color w:val="auto"/>
          <w:sz w:val="22"/>
          <w:szCs w:val="22"/>
        </w:rPr>
      </w:pPr>
      <w:r w:rsidRPr="00E411A4">
        <w:rPr>
          <w:rFonts w:ascii="Century Gothic" w:hAnsi="Century Gothic" w:cstheme="minorBidi"/>
          <w:color w:val="auto"/>
          <w:sz w:val="22"/>
          <w:szCs w:val="22"/>
        </w:rPr>
        <w:t xml:space="preserve"> “Se declara al Ecuador libre de cultivos y semillas transgénicas. Excepcionalmente, y sólo en caso de interés nacional debidamente fundamentado por el Presidente de la República y aprobado por la Asamblea Nacional, se podrá introducir semillas y cultivos genéticamente modificados” (artículo 401). </w:t>
      </w:r>
    </w:p>
    <w:p w:rsidR="00E411A4" w:rsidRPr="00E411A4" w:rsidRDefault="00E411A4" w:rsidP="00E411A4">
      <w:pPr>
        <w:pStyle w:val="Default"/>
        <w:spacing w:after="139"/>
        <w:ind w:right="-852"/>
        <w:jc w:val="both"/>
        <w:rPr>
          <w:rFonts w:ascii="Century Gothic" w:hAnsi="Century Gothic" w:cstheme="minorBidi"/>
          <w:color w:val="auto"/>
          <w:sz w:val="22"/>
          <w:szCs w:val="22"/>
        </w:rPr>
      </w:pPr>
      <w:r w:rsidRPr="00E411A4">
        <w:rPr>
          <w:rFonts w:ascii="Century Gothic" w:hAnsi="Century Gothic" w:cstheme="minorBidi"/>
          <w:color w:val="auto"/>
          <w:sz w:val="22"/>
          <w:szCs w:val="22"/>
        </w:rPr>
        <w:t xml:space="preserve"> “El Estado regulará bajo estrictas normas de bioseguridad, el uso y el desarrollo de la biotecnología moderna y sus productos, así como su experimentación, uso y comercialización. Se prohíbe la aplicación de biotecnologías riesgosas o experimentales” (artículo 401). </w:t>
      </w:r>
    </w:p>
    <w:p w:rsidR="00E411A4" w:rsidRPr="00E411A4" w:rsidRDefault="00E411A4" w:rsidP="00E411A4">
      <w:pPr>
        <w:pStyle w:val="Default"/>
        <w:spacing w:after="139"/>
        <w:ind w:right="-852"/>
        <w:jc w:val="both"/>
        <w:rPr>
          <w:rFonts w:ascii="Century Gothic" w:hAnsi="Century Gothic" w:cstheme="minorBidi"/>
          <w:color w:val="auto"/>
          <w:sz w:val="22"/>
          <w:szCs w:val="22"/>
        </w:rPr>
      </w:pPr>
      <w:r w:rsidRPr="00E411A4">
        <w:rPr>
          <w:rFonts w:ascii="Century Gothic" w:hAnsi="Century Gothic" w:cstheme="minorBidi"/>
          <w:color w:val="auto"/>
          <w:sz w:val="22"/>
          <w:szCs w:val="22"/>
        </w:rPr>
        <w:t xml:space="preserve"> “La soberanía energética no se alcanzará en detrimento de la soberanía alimentaria, ni afectará el derecho al agua” (artículo 15). </w:t>
      </w:r>
    </w:p>
    <w:p w:rsidR="00E411A4" w:rsidRPr="00E411A4" w:rsidRDefault="00E411A4" w:rsidP="00E411A4">
      <w:pPr>
        <w:pStyle w:val="Default"/>
        <w:ind w:right="-852"/>
        <w:jc w:val="both"/>
        <w:rPr>
          <w:rFonts w:ascii="Century Gothic" w:hAnsi="Century Gothic" w:cstheme="minorBidi"/>
          <w:color w:val="auto"/>
          <w:sz w:val="22"/>
          <w:szCs w:val="22"/>
        </w:rPr>
      </w:pPr>
      <w:r w:rsidRPr="00E411A4">
        <w:rPr>
          <w:rFonts w:ascii="Century Gothic" w:hAnsi="Century Gothic" w:cstheme="minorBidi"/>
          <w:color w:val="auto"/>
          <w:sz w:val="22"/>
          <w:szCs w:val="22"/>
        </w:rPr>
        <w:t xml:space="preserve"> “El Estado brindará a los agricultores y a las comunidades rurales apoyo para la conservación y restauración de los suelos, así como para el desarrollo de prácticas agrícolas que los protejan y promuevan la soberanía alimentaria (artículo 410). </w:t>
      </w:r>
    </w:p>
    <w:p w:rsidR="00E411A4" w:rsidRPr="00E411A4" w:rsidRDefault="00E411A4" w:rsidP="00E411A4">
      <w:pPr>
        <w:pStyle w:val="Default"/>
        <w:ind w:right="-852"/>
        <w:jc w:val="both"/>
        <w:rPr>
          <w:rFonts w:ascii="Century Gothic" w:hAnsi="Century Gothic" w:cstheme="minorBidi"/>
          <w:color w:val="auto"/>
          <w:sz w:val="22"/>
          <w:szCs w:val="22"/>
        </w:rPr>
      </w:pPr>
    </w:p>
    <w:p w:rsidR="00E411A4" w:rsidRPr="00E411A4" w:rsidRDefault="00E411A4" w:rsidP="00E411A4">
      <w:pPr>
        <w:ind w:right="-852"/>
        <w:jc w:val="both"/>
        <w:rPr>
          <w:rFonts w:ascii="Century Gothic" w:hAnsi="Century Gothic"/>
        </w:rPr>
      </w:pPr>
      <w:r w:rsidRPr="00E411A4">
        <w:rPr>
          <w:rFonts w:ascii="Century Gothic" w:hAnsi="Century Gothic"/>
        </w:rPr>
        <w:t>“Las garantías, como se ha demostrado algunos años después de la Constitución de Montecristi, no son suficientes. Parecería que hay que pensar en los mecanismos de poder para establecer formas efectivas para respetar y garantizar los derechos. Es decir, la parte orgánica de la Constitución no debe ser visto como algo ajena a los derechos sino como algo intrínsecamente vinculado. Los derechos, cuando más numerosos y complejos, demandan una estructura de poder más democrática y más respetuosa de las normas. En este sentido, el presidencialismo es exactamente lo contrario: no es democrático y tiende a la concentración de poder, que es exactamente lo que evita los derechos” (2014: 301). A esta conclusión llega Ávila Santamaría luego de constatar que la ineficacia del discurso de derecho –en este caso constitucional– es un problema político.</w:t>
      </w:r>
    </w:p>
    <w:sectPr w:rsidR="00E411A4" w:rsidRPr="00E411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Raleway">
    <w:altName w:val="Ralewa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8360B"/>
    <w:multiLevelType w:val="hybridMultilevel"/>
    <w:tmpl w:val="131C5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080596C"/>
    <w:multiLevelType w:val="hybridMultilevel"/>
    <w:tmpl w:val="055C03D4"/>
    <w:lvl w:ilvl="0" w:tplc="B46071F4">
      <w:numFmt w:val="bullet"/>
      <w:lvlText w:val=""/>
      <w:lvlJc w:val="left"/>
      <w:pPr>
        <w:ind w:left="720" w:hanging="360"/>
      </w:pPr>
      <w:rPr>
        <w:rFonts w:ascii="Century Gothic" w:eastAsiaTheme="minorHAnsi" w:hAnsi="Century Gothic" w:cs="Raleway"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BEF6E5A"/>
    <w:multiLevelType w:val="hybridMultilevel"/>
    <w:tmpl w:val="9B3A82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A4"/>
    <w:rsid w:val="000E7D69"/>
    <w:rsid w:val="00340383"/>
    <w:rsid w:val="008C0CD2"/>
    <w:rsid w:val="00E411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5EA50-F703-4A69-B45E-CE6B5DD4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411A4"/>
    <w:pPr>
      <w:autoSpaceDE w:val="0"/>
      <w:autoSpaceDN w:val="0"/>
      <w:adjustRightInd w:val="0"/>
      <w:spacing w:after="0" w:line="240" w:lineRule="auto"/>
    </w:pPr>
    <w:rPr>
      <w:rFonts w:ascii="Raleway" w:hAnsi="Raleway" w:cs="Ralewa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1180</Words>
  <Characters>6491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dc:creator>
  <cp:keywords/>
  <dc:description/>
  <cp:lastModifiedBy>Marisol</cp:lastModifiedBy>
  <cp:revision>2</cp:revision>
  <dcterms:created xsi:type="dcterms:W3CDTF">2017-04-23T21:09:00Z</dcterms:created>
  <dcterms:modified xsi:type="dcterms:W3CDTF">2017-04-23T21:20:00Z</dcterms:modified>
</cp:coreProperties>
</file>