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76FD" w:rsidRDefault="009376FD" w:rsidP="009376FD">
      <w:pPr>
        <w:pBdr>
          <w:top w:val="single" w:sz="6" w:space="1" w:color="auto"/>
        </w:pBdr>
        <w:spacing w:line="360" w:lineRule="auto"/>
        <w:rPr>
          <w:rFonts w:ascii="Times New Roman" w:eastAsia="Times New Roman" w:hAnsi="Times New Roman" w:cs="Times New Roman"/>
          <w:lang w:eastAsia="es-ES"/>
        </w:rPr>
      </w:pPr>
    </w:p>
    <w:p w:rsidR="009376FD" w:rsidRDefault="009376FD" w:rsidP="009376FD">
      <w:pPr>
        <w:pBdr>
          <w:top w:val="single" w:sz="6" w:space="1" w:color="auto"/>
        </w:pBdr>
        <w:spacing w:line="360" w:lineRule="auto"/>
        <w:rPr>
          <w:rFonts w:ascii="Times New Roman" w:eastAsia="Times New Roman" w:hAnsi="Times New Roman" w:cs="Times New Roman"/>
          <w:lang w:eastAsia="es-ES"/>
        </w:rPr>
      </w:pPr>
    </w:p>
    <w:p w:rsidR="009376FD" w:rsidRDefault="009376FD" w:rsidP="009376FD">
      <w:pPr>
        <w:pBdr>
          <w:top w:val="single" w:sz="6" w:space="1" w:color="auto"/>
        </w:pBdr>
        <w:spacing w:line="360" w:lineRule="auto"/>
        <w:rPr>
          <w:rFonts w:ascii="Times New Roman" w:eastAsia="Times New Roman" w:hAnsi="Times New Roman" w:cs="Times New Roman"/>
          <w:lang w:eastAsia="es-ES"/>
        </w:rPr>
      </w:pPr>
    </w:p>
    <w:p w:rsidR="009376FD" w:rsidRDefault="009376FD" w:rsidP="009376FD">
      <w:pPr>
        <w:pBdr>
          <w:top w:val="single" w:sz="6" w:space="1" w:color="auto"/>
        </w:pBdr>
        <w:spacing w:line="360" w:lineRule="auto"/>
        <w:rPr>
          <w:rFonts w:ascii="Times New Roman" w:eastAsia="Times New Roman" w:hAnsi="Times New Roman" w:cs="Times New Roman"/>
          <w:lang w:eastAsia="es-ES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lang w:eastAsia="es-ES"/>
        </w:rPr>
        <w:t>¿</w:t>
      </w:r>
      <w:r w:rsidRPr="003B5DCF">
        <w:rPr>
          <w:rFonts w:ascii="Times New Roman" w:eastAsia="Times New Roman" w:hAnsi="Times New Roman" w:cs="Times New Roman"/>
          <w:lang w:eastAsia="es-ES"/>
        </w:rPr>
        <w:t>Qué comprendemos por desarrollo?</w:t>
      </w:r>
      <w:r>
        <w:rPr>
          <w:rFonts w:ascii="Times New Roman" w:eastAsia="Times New Roman" w:hAnsi="Times New Roman" w:cs="Times New Roman"/>
          <w:lang w:eastAsia="es-ES"/>
        </w:rPr>
        <w:t xml:space="preserve"> El término desarrollo ha generado una vasta literatura, así como críticas, como ser: su proceso unidireccional,  progreso acumulativo,  y sus nexos con el mercado. Para nuestro contexto existen interesantes estudios sobre las políticas de ¨modernización¨ por parte del Estado dirigidas a la agricultura véase (Rivera, </w:t>
      </w:r>
      <w:proofErr w:type="spellStart"/>
      <w:r>
        <w:rPr>
          <w:rFonts w:ascii="Times New Roman" w:eastAsia="Times New Roman" w:hAnsi="Times New Roman" w:cs="Times New Roman"/>
          <w:lang w:eastAsia="es-ES"/>
        </w:rPr>
        <w:t>Arnold</w:t>
      </w:r>
      <w:proofErr w:type="spellEnd"/>
      <w:r>
        <w:rPr>
          <w:rFonts w:ascii="Times New Roman" w:eastAsia="Times New Roman" w:hAnsi="Times New Roman" w:cs="Times New Roman"/>
          <w:lang w:eastAsia="es-ES"/>
        </w:rPr>
        <w:t xml:space="preserve">, Plata, entre otros). Ya en el artículo de </w:t>
      </w:r>
      <w:proofErr w:type="spellStart"/>
      <w:r>
        <w:rPr>
          <w:rFonts w:ascii="Times New Roman" w:eastAsia="Times New Roman" w:hAnsi="Times New Roman" w:cs="Times New Roman"/>
          <w:lang w:eastAsia="es-ES"/>
        </w:rPr>
        <w:t>Bazoberry</w:t>
      </w:r>
      <w:proofErr w:type="spellEnd"/>
      <w:r>
        <w:rPr>
          <w:rFonts w:ascii="Times New Roman" w:eastAsia="Times New Roman" w:hAnsi="Times New Roman" w:cs="Times New Roman"/>
          <w:lang w:eastAsia="es-ES"/>
        </w:rPr>
        <w:t xml:space="preserve"> y Ruiz  destaco que desarrollo es un proceso dinámico de cambios sucesivos que está dirigida a mejorar las condiciones de vida y de trabajo de las familias que optaron por esta opción de vida, a decir de Bartra ¨los campesinos no nacen campesinos, se hacen campesinos; se inventan así mismos…¨</w:t>
      </w:r>
    </w:p>
    <w:p w:rsidR="009376FD" w:rsidRDefault="009376FD" w:rsidP="009376FD">
      <w:pPr>
        <w:pBdr>
          <w:top w:val="single" w:sz="6" w:space="1" w:color="auto"/>
        </w:pBdr>
        <w:spacing w:line="360" w:lineRule="auto"/>
        <w:rPr>
          <w:rFonts w:ascii="Arial" w:eastAsia="Times New Roman" w:hAnsi="Arial" w:cs="Arial"/>
          <w:sz w:val="16"/>
          <w:szCs w:val="16"/>
          <w:lang w:eastAsia="es-ES"/>
        </w:rPr>
      </w:pPr>
      <w:r>
        <w:rPr>
          <w:rFonts w:ascii="Times New Roman" w:eastAsia="Times New Roman" w:hAnsi="Times New Roman" w:cs="Times New Roman"/>
          <w:lang w:eastAsia="es-ES"/>
        </w:rPr>
        <w:t xml:space="preserve">En este contexto el artículo destaca una cuidadosa forma de enfocar la problemática rural y destaca las perspectivas de enfoques de interpretación y acción. En este contexto se presenta tres enfoques: estructural, de factores individuales y culturales y el enfoque institucional. Es interesante desde mi perspectiva el enfoque de desarrollo estructural que propone modificar las relaciones asimétricas, superar las desigualdades desde el ámbito del Estado y la población, enfoque  estructural que destaca la crítica a la </w:t>
      </w:r>
      <w:proofErr w:type="spellStart"/>
      <w:r>
        <w:rPr>
          <w:rFonts w:ascii="Times New Roman" w:eastAsia="Times New Roman" w:hAnsi="Times New Roman" w:cs="Times New Roman"/>
          <w:lang w:eastAsia="es-ES"/>
        </w:rPr>
        <w:t>monoculturarilidad</w:t>
      </w:r>
      <w:proofErr w:type="spellEnd"/>
      <w:r>
        <w:rPr>
          <w:rFonts w:ascii="Times New Roman" w:eastAsia="Times New Roman" w:hAnsi="Times New Roman" w:cs="Times New Roman"/>
          <w:lang w:eastAsia="es-ES"/>
        </w:rPr>
        <w:t>, es decir a teorías y conceptos euro centristas de desarrollo que no logran adaptarse a las lógicas y sistemas que no comparten dichos valores, a este respecto se trabajaron investigaciones que coinciden en la enorme brecha social, económica y cultural de proyectos de desarrollo externos, en comunidades andinas. Al respecto es interesante destacar la necesidad de construir alternativas propias y en diálogo horizontal con las instituciones.</w:t>
      </w:r>
    </w:p>
    <w:p w:rsidR="00E97BA2" w:rsidRDefault="00E97BA2"/>
    <w:sectPr w:rsidR="00E97BA2" w:rsidSect="006A0D61">
      <w:pgSz w:w="12240" w:h="15840" w:code="1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6FD"/>
    <w:rsid w:val="004D2370"/>
    <w:rsid w:val="006A0D61"/>
    <w:rsid w:val="009376FD"/>
    <w:rsid w:val="00E97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76F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2016-05-11T04:01:00Z</dcterms:created>
  <dcterms:modified xsi:type="dcterms:W3CDTF">2016-05-11T04:03:00Z</dcterms:modified>
</cp:coreProperties>
</file>